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66" w:rsidRDefault="0011476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14766" w:rsidRDefault="00114766">
      <w:pPr>
        <w:pStyle w:val="ConsPlusTitle"/>
        <w:jc w:val="both"/>
      </w:pPr>
    </w:p>
    <w:p w:rsidR="00114766" w:rsidRDefault="00114766">
      <w:pPr>
        <w:pStyle w:val="ConsPlusTitle"/>
        <w:jc w:val="center"/>
      </w:pPr>
      <w:r>
        <w:t>ПОСТАНОВЛЕНИЕ</w:t>
      </w:r>
    </w:p>
    <w:p w:rsidR="00114766" w:rsidRDefault="00114766">
      <w:pPr>
        <w:pStyle w:val="ConsPlusTitle"/>
        <w:jc w:val="center"/>
      </w:pPr>
      <w:r>
        <w:t>от 21 июля 2021 г. N 1230</w:t>
      </w:r>
    </w:p>
    <w:p w:rsidR="00114766" w:rsidRDefault="00114766">
      <w:pPr>
        <w:pStyle w:val="ConsPlusTitle"/>
        <w:jc w:val="both"/>
      </w:pPr>
    </w:p>
    <w:p w:rsidR="00114766" w:rsidRDefault="00114766">
      <w:pPr>
        <w:pStyle w:val="ConsPlusTitle"/>
        <w:jc w:val="center"/>
      </w:pPr>
      <w:r>
        <w:t>ОБ УТВЕРЖДЕНИИ ПОЛОЖЕНИЯ</w:t>
      </w:r>
    </w:p>
    <w:p w:rsidR="00114766" w:rsidRDefault="00114766">
      <w:pPr>
        <w:pStyle w:val="ConsPlusTitle"/>
        <w:jc w:val="center"/>
      </w:pPr>
      <w:r>
        <w:t>О ФЕДЕРАЛЬНОМ ГОСУДАРСТВЕННОМ КОНТРОЛЕ (НАДЗОРЕ)</w:t>
      </w:r>
    </w:p>
    <w:p w:rsidR="00114766" w:rsidRDefault="00114766">
      <w:pPr>
        <w:pStyle w:val="ConsPlusTitle"/>
        <w:jc w:val="center"/>
      </w:pPr>
      <w:r>
        <w:t>ЗА СОБЛЮДЕНИЕМ ТРУДОВОГО ЗАКОНОДАТЕЛЬСТВА И ИНЫХ</w:t>
      </w:r>
    </w:p>
    <w:p w:rsidR="00114766" w:rsidRDefault="00114766">
      <w:pPr>
        <w:pStyle w:val="ConsPlusTitle"/>
        <w:jc w:val="center"/>
      </w:pPr>
      <w:r>
        <w:t>НОРМАТИВНЫХ ПРАВОВЫХ АКТОВ, СОДЕРЖАЩИХ НОРМЫ</w:t>
      </w:r>
    </w:p>
    <w:p w:rsidR="00114766" w:rsidRDefault="00114766">
      <w:pPr>
        <w:pStyle w:val="ConsPlusTitle"/>
        <w:jc w:val="center"/>
      </w:pPr>
      <w:r>
        <w:t>ТРУДОВОГО ПРАВА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353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N 37, ст. 4995);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701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2015, N 30, ст. 4586);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2016 г. N 1213 "О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2016, N 48, ст. 6773);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утвержденные постановлением Правительства Российской Федерации от 16 февраля 2017 г. N 197 "О внесении изменений в некоторые акты Правительства Российской Федерации" (Собрание законодательства Российской Федерации, 2017, N 9, ст. 1361);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2017 г. N 1080 "О внесении изменений в Положение о федеральном </w:t>
      </w:r>
      <w:r>
        <w:lastRenderedPageBreak/>
        <w:t>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2017, N 38, ст. 5618);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ноября 2017 г. N 1409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2017, N 48, ст. 7233);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2018 г. N 134 "О внесении изменений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2018, N 9, ст. 1386);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2018 г. N 530 "О внесении изменения в 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2018, N 19, ст. 2752);</w:t>
      </w:r>
    </w:p>
    <w:p w:rsidR="00114766" w:rsidRDefault="00114766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2019 г. N 1914 "О внесении изменения в пункт 13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2020, N 1, ст. 98).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Установить, что реализация полномочий, предусмотренных настоящим постановлением, осуществляется Федеральной службой по труду и занятости и ее территориальными органами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4. Плановые проверки в области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проведение которых запланировано на 2021 год и дата начала которых наступает позднее даты вступления в силу настоящего постановления, подлежат проведению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до 1 июня 2023 г.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right"/>
      </w:pPr>
      <w:r>
        <w:t>Председатель Правительства</w:t>
      </w:r>
    </w:p>
    <w:p w:rsidR="00114766" w:rsidRDefault="00114766">
      <w:pPr>
        <w:pStyle w:val="ConsPlusNormal"/>
        <w:jc w:val="right"/>
      </w:pPr>
      <w:r>
        <w:t>Российской Федерации</w:t>
      </w:r>
    </w:p>
    <w:p w:rsidR="00114766" w:rsidRDefault="00114766">
      <w:pPr>
        <w:pStyle w:val="ConsPlusNormal"/>
        <w:jc w:val="right"/>
      </w:pPr>
      <w:r>
        <w:t>М.МИШУСТИН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right"/>
        <w:outlineLvl w:val="0"/>
      </w:pPr>
      <w:r>
        <w:t>Утверждено</w:t>
      </w:r>
    </w:p>
    <w:p w:rsidR="00114766" w:rsidRDefault="00114766">
      <w:pPr>
        <w:pStyle w:val="ConsPlusNormal"/>
        <w:jc w:val="right"/>
      </w:pPr>
      <w:r>
        <w:t>постановлением Правительства</w:t>
      </w:r>
    </w:p>
    <w:p w:rsidR="00114766" w:rsidRDefault="00114766">
      <w:pPr>
        <w:pStyle w:val="ConsPlusNormal"/>
        <w:jc w:val="right"/>
      </w:pPr>
      <w:r>
        <w:t>Российской Федерации</w:t>
      </w:r>
    </w:p>
    <w:p w:rsidR="00114766" w:rsidRDefault="00114766">
      <w:pPr>
        <w:pStyle w:val="ConsPlusNormal"/>
        <w:jc w:val="right"/>
      </w:pPr>
      <w:r>
        <w:t>от 21 июля 2021 г. N 1230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</w:pPr>
      <w:bookmarkStart w:id="1" w:name="P41"/>
      <w:bookmarkEnd w:id="1"/>
      <w:r>
        <w:t>ПОЛОЖЕНИЕ</w:t>
      </w:r>
    </w:p>
    <w:p w:rsidR="00114766" w:rsidRDefault="00114766">
      <w:pPr>
        <w:pStyle w:val="ConsPlusTitle"/>
        <w:jc w:val="center"/>
      </w:pPr>
      <w:r>
        <w:t>О ФЕДЕРАЛЬНОМ ГОСУДАРСТВЕННОМ КОНТРОЛЕ (НАДЗОРЕ)</w:t>
      </w:r>
    </w:p>
    <w:p w:rsidR="00114766" w:rsidRDefault="00114766">
      <w:pPr>
        <w:pStyle w:val="ConsPlusTitle"/>
        <w:jc w:val="center"/>
      </w:pPr>
      <w:r>
        <w:t>ЗА СОБЛЮДЕНИЕМ ТРУДОВОГО ЗАКОНОДАТЕЛЬСТВА И ИНЫХ</w:t>
      </w:r>
    </w:p>
    <w:p w:rsidR="00114766" w:rsidRDefault="00114766">
      <w:pPr>
        <w:pStyle w:val="ConsPlusTitle"/>
        <w:jc w:val="center"/>
      </w:pPr>
      <w:r>
        <w:t>НОРМАТИВНЫХ ПРАВОВЫХ АКТОВ, СОДЕРЖАЩИХ НОРМЫ</w:t>
      </w:r>
    </w:p>
    <w:p w:rsidR="00114766" w:rsidRDefault="00114766">
      <w:pPr>
        <w:pStyle w:val="ConsPlusTitle"/>
        <w:jc w:val="center"/>
      </w:pPr>
      <w:r>
        <w:t>ТРУДОВОГО ПРАВА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  <w:outlineLvl w:val="1"/>
      </w:pPr>
      <w:r>
        <w:t>I. Общие положения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организации и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(далее - государственный контроль (надзор).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2. Предметом государственного контроля (надзора) является </w:t>
      </w:r>
      <w:proofErr w:type="gramStart"/>
      <w:r>
        <w:t>соблюдение</w:t>
      </w:r>
      <w:proofErr w:type="gramEnd"/>
      <w:r>
        <w:t xml:space="preserve"> работодателями требований трудового законодательства, включая законодательство о специальной оценке условий труда, иных нормативных правовых актов, содержащих нормы трудового права, в том числе оценка соблюдения обязательных требований к обеспечению доступности для работников, являющихся инвалидами, специальных рабочих мест и условий труда.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3. Государственный контроль (надзор) осуществляется федеральной инспекцией труда, состоящей из Федеральной </w:t>
      </w:r>
      <w:hyperlink w:anchor="P41" w:history="1">
        <w:r>
          <w:rPr>
            <w:color w:val="0000FF"/>
          </w:rPr>
          <w:t>службы</w:t>
        </w:r>
      </w:hyperlink>
      <w:r>
        <w:t xml:space="preserve"> по труду и занятости и ее территориальных органов (государственных инспекций труда) (далее - территориальные органы).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4. Должностными лицами, уполномоченными на осуществление государственного контроля (надзора), являются: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а) руководитель Федеральной службы по труду и занятости - главный </w:t>
      </w:r>
      <w:r>
        <w:lastRenderedPageBreak/>
        <w:t>государственный инспектор труда Российской Федерации, его заместители;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б) руководитель структурного подразделения Федеральной службы по труду и занятости,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которое</w:t>
      </w:r>
      <w:proofErr w:type="gramEnd"/>
      <w:r>
        <w:t xml:space="preserve"> возложены функции по организации и осуществлению государственного контроля (надзора), - главный государственный инспектор труда, его заместители;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gramStart"/>
      <w:r>
        <w:t>в) начальник отдела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главный государственный инспектор труда, его заместитель;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г) главный государственный инспектор труда, старший государственный инспектор труда, государственный инспектор труда отдела структурного подразделения Федеральной службы по труду и занятости, на </w:t>
      </w:r>
      <w:proofErr w:type="gramStart"/>
      <w:r>
        <w:t>которое</w:t>
      </w:r>
      <w:proofErr w:type="gramEnd"/>
      <w:r>
        <w:t xml:space="preserve"> возложены функции по организации и осуществлению государственного контроля (надзора);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д) руководитель территориального органа - главный государственный инспектор труда в субъекте Российской Федерации, его заместители;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е) руководители структурных подразделений соответствующих территориальных органов - главные государственные инспектора труда, их заместители;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ж) главный государственный инспектор труда, старший государственный инспектор труда, государственный инспектор труда соответствующих территориальных органов.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руководитель Федеральной службы по труду и занятости - главный государственный инспектор труда Российской Федерации, его заместители;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руководитель территориального органа - главный государственный инспектор труда в субъекте Российской Федерации, его заместители.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осуществлением государственного контроля (надзора), применяются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(далее - Закон о контроле (надзоре) и </w:t>
      </w:r>
      <w:hyperlink r:id="rId16" w:history="1">
        <w:r>
          <w:rPr>
            <w:color w:val="0000FF"/>
          </w:rPr>
          <w:t>статьи 353</w:t>
        </w:r>
      </w:hyperlink>
      <w:r>
        <w:t xml:space="preserve"> и </w:t>
      </w:r>
      <w:hyperlink r:id="rId17" w:history="1">
        <w:r>
          <w:rPr>
            <w:color w:val="0000FF"/>
          </w:rPr>
          <w:t>354</w:t>
        </w:r>
      </w:hyperlink>
      <w:r>
        <w:t xml:space="preserve"> - </w:t>
      </w:r>
      <w:hyperlink r:id="rId18" w:history="1">
        <w:r>
          <w:rPr>
            <w:color w:val="0000FF"/>
          </w:rPr>
          <w:t>365</w:t>
        </w:r>
      </w:hyperlink>
      <w:r>
        <w:t xml:space="preserve"> Трудового кодекса Российской Федерации.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Федеральная инспекция труда осуществляет свою деятельность во взаимодействии с федеральными органами исполнительной власти, </w:t>
      </w:r>
      <w:r>
        <w:lastRenderedPageBreak/>
        <w:t>осуществляющими функции по государственному контролю (надзору)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 и другими организациями.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>8. Объектом государственного контроля (надзора) (далее - объект контроля) являются: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2" w:name="P66"/>
      <w:bookmarkEnd w:id="2"/>
      <w:proofErr w:type="gramStart"/>
      <w:r>
        <w:t>а) деятельность, действия (бездействие) работодателей -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 (далее - контролируемые лица);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>б) деятельность организаций, осуществляющих проведение специальной оценки условий труда.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9. Учет объектов контроля осуществляется Федеральной службой по труду и занятости в соответствии с положениями </w:t>
      </w:r>
      <w:hyperlink r:id="rId19" w:history="1">
        <w:r>
          <w:rPr>
            <w:color w:val="0000FF"/>
          </w:rPr>
          <w:t>Закона</w:t>
        </w:r>
      </w:hyperlink>
      <w:r>
        <w:t xml:space="preserve"> о контроле (надзоре) посредством использования автоматизированной системы управления контрольно-надзорной деятельностью в сфере труда. Обновление данных об объектах контроля в указанной информационной системе осуществляется на постоянной основе посредством ее взаимодействия с Единым государственным реестром юридических лиц и Единым государственным реестром индивидуальных предпринимателей.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  <w:outlineLvl w:val="1"/>
      </w:pPr>
      <w:r>
        <w:t xml:space="preserve">II. Управление рисками причинения вреда (ущерба) </w:t>
      </w:r>
      <w:proofErr w:type="gramStart"/>
      <w:r>
        <w:t>охраняемым</w:t>
      </w:r>
      <w:proofErr w:type="gramEnd"/>
    </w:p>
    <w:p w:rsidR="00114766" w:rsidRDefault="00114766">
      <w:pPr>
        <w:pStyle w:val="ConsPlusTitle"/>
        <w:jc w:val="center"/>
      </w:pPr>
      <w:r>
        <w:t xml:space="preserve">законом ценностям при осуществлении </w:t>
      </w:r>
      <w:proofErr w:type="gramStart"/>
      <w:r>
        <w:t>государственного</w:t>
      </w:r>
      <w:proofErr w:type="gramEnd"/>
    </w:p>
    <w:p w:rsidR="00114766" w:rsidRDefault="00114766">
      <w:pPr>
        <w:pStyle w:val="ConsPlusTitle"/>
        <w:jc w:val="center"/>
      </w:pPr>
      <w:r>
        <w:t>контроля (надзора)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10. При осуществлении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11. Федеральная служба по труду и занятости и ее территориальные органы при осуществлении государственного контроля (надзора) относит объекты контроля, предусмотренные </w:t>
      </w:r>
      <w:hyperlink w:anchor="P6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к одной из следующих категорий риска причинения вреда (ущерба) охраняемым законом ценностям (далее - категории риска):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высокий риск;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lastRenderedPageBreak/>
        <w:t>б) значительный риск;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средний риск;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г) умеренный риск;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д) низкий риск.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12.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</w:t>
      </w:r>
      <w:hyperlink w:anchor="P226" w:history="1">
        <w:r>
          <w:rPr>
            <w:color w:val="0000FF"/>
          </w:rPr>
          <w:t>приложению</w:t>
        </w:r>
      </w:hyperlink>
      <w:r>
        <w:t>.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3" w:name="P82"/>
      <w:bookmarkEnd w:id="3"/>
      <w:r>
        <w:t>13. Отнесение объектов контроля к определенной категории риска осуществляется: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решением руководителя Федеральной службы по труду и занятости - главного государственного инспектора труда Российской Федерации, его заместителями - при отнесении объекта контроля к категории высокого риска;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решением руководителя территориального органа - главного государственного инспектора труда в субъекте Российской Федерации, его заместителями - при отнесении объекта контроля к категориям значительного, среднего и умеренного риска.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114766" w:rsidRDefault="00114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"/>
        <w:gridCol w:w="34"/>
        <w:gridCol w:w="9268"/>
        <w:gridCol w:w="34"/>
      </w:tblGrid>
      <w:tr w:rsidR="00114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66" w:rsidRDefault="001147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66" w:rsidRDefault="001147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4766" w:rsidRDefault="001147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14766" w:rsidRDefault="00114766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Перечень работодателей, деятельность которых отнесена к категории высокого риска, см. на сайте </w:t>
            </w:r>
            <w:proofErr w:type="spellStart"/>
            <w:r>
              <w:rPr>
                <w:color w:val="392C69"/>
              </w:rPr>
              <w:t>Роструда</w:t>
            </w:r>
            <w:proofErr w:type="spellEnd"/>
            <w:r>
              <w:rPr>
                <w:color w:val="392C69"/>
              </w:rPr>
              <w:t xml:space="preserve"> по адресу https://rostrud.gov.ru/rostrud/deyatelnost/?CAT_ID=14934&amp;sphrase_id=7359247.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766" w:rsidRDefault="00114766"/>
        </w:tc>
      </w:tr>
    </w:tbl>
    <w:p w:rsidR="00114766" w:rsidRDefault="00114766">
      <w:pPr>
        <w:pStyle w:val="ConsPlusNormal"/>
        <w:spacing w:before="360"/>
        <w:ind w:firstLine="540"/>
        <w:jc w:val="both"/>
      </w:pPr>
      <w:r>
        <w:t>Отнесение объектов контроля к определенной категории риска осуществляется ежегодно, до 1 июля текущего года, для ее применения в следующем календарном году. Сведения об объектах контроля с присвоенной им категорией риска размещаются на официальном сайте Федеральной службы по труду и занятости (в отношении высокой категории риска) и ее территориальных органов (в отношении категорий значительного, среднего и умеренного риска) в информационно-телекоммуникационной сети "Интернет".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Контролируемое лицо вправе подать в Федеральную службу по труду и занятости или ее территориальный орган заявление об изменении категории риска осуществляемой им деятельности в случае ее соответствия иной </w:t>
      </w:r>
      <w:r>
        <w:lastRenderedPageBreak/>
        <w:t>категории риска.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14. При поступлении сведений о соответствии объекта контроля иной категории риска либо об изменении критериев риска соответствующим должностным лицом, указанным в </w:t>
      </w:r>
      <w:hyperlink w:anchor="P82" w:history="1">
        <w:r>
          <w:rPr>
            <w:color w:val="0000FF"/>
          </w:rPr>
          <w:t>пункте 13</w:t>
        </w:r>
      </w:hyperlink>
      <w:r>
        <w:t xml:space="preserve"> настоящего Положения, в течение 5 рабочих дней со дня поступления таких сведений принимается решение об изменении категории риска указанного объекта контроля.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gramStart"/>
      <w:r>
        <w:t>Решение об изменении категории риска на более низкую категорию принимается на основании заявления контролируемого лица должностным лицом, которым ранее соответствующий объект контроля был отнесен к категории риска, с направлением указанного решения, документов и сведений, на основании которых оно было принято, в орган, уполномоченный на отнесение объекта контроля к соответствующей (более низкой) категории риска.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>Решение об отнесении деятельности контролируемого лица к более высокой категории риска принимается должностными лицами Федеральной службы по труду и занятости и ее территориальных органов, уполномоченными на отнесение объекта контроля к соответствующей (более высокой) категории риска.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15. Плановые контрольные (надзорные) мероприятия в отношении объектов контроля в зависимости от присвоенной категории риска: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 отношении объектов контроля, отнесенных к категории высокого риска, выездная проверка проводится один раз в 2 года;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 отношении объектов контроля, отнесенных к категории значительного риска, выездная проверка проводится один раз в 3 года;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 отношении объектов контроля, отнесенных к категории среднего риска, выездная проверка проводится один раз в 5 лет;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 отношении объектов контроля, отнесенных к категории умеренного риска, выездная проверка проводится один раз в 6 лет.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114766" w:rsidRDefault="00114766">
      <w:pPr>
        <w:pStyle w:val="ConsPlusTitle"/>
        <w:jc w:val="center"/>
      </w:pPr>
      <w:r>
        <w:t>охраняемым законом ценностям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16. При осуществлении государственного контроля (надзора) могут проводиться следующие виды профилактических мероприятий: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lastRenderedPageBreak/>
        <w:t>а) информирование;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обобщение правоприменительной практики;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объявление предостережения;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г) консультирование;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д) профилактический визит.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17. Информирование контролируемых лиц и иных заинтересованных лиц осуществляется Федеральной службой по труду и занятости и ее территориальными органами в соответствии с положениями </w:t>
      </w:r>
      <w:hyperlink r:id="rId20" w:history="1">
        <w:r>
          <w:rPr>
            <w:color w:val="0000FF"/>
          </w:rPr>
          <w:t>статьи 46</w:t>
        </w:r>
      </w:hyperlink>
      <w:r>
        <w:t xml:space="preserve"> Закона о контроле (надзоре) по вопросам соблюдения обязательных требований в сфере трудового законодательства и иных нормативных правовых актов, содержащих нормы трудового права.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18. Обобщение правоприменительной практики осуществляется в соответствии с положениями </w:t>
      </w:r>
      <w:hyperlink r:id="rId21" w:history="1">
        <w:r>
          <w:rPr>
            <w:color w:val="0000FF"/>
          </w:rPr>
          <w:t>статьи 47</w:t>
        </w:r>
      </w:hyperlink>
      <w:r>
        <w:t xml:space="preserve"> Закона о надзоре (контроле).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19. Доклад о правоприменительной практике готовится ежегодно, не позднее 1 июня текущего года, за предыдущий год.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20. Доклад о правоприменительной практике утверждается приказом (распоряжением) руководителя Федеральной службы по труду и занятости и размещается на ее официальном сайте в информационно-телекоммуникационной сети "Интернет" не позднее 1 июня текущего года.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21. Предостережение о недопустимости нарушения обязательных требований объявляется и направляется контролируемому лицу в соответствии с положениями </w:t>
      </w:r>
      <w:hyperlink r:id="rId22" w:history="1">
        <w:r>
          <w:rPr>
            <w:color w:val="0000FF"/>
          </w:rPr>
          <w:t>статьи 49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В случае наличия в Федеральной службе по труду и занятости или ее территориальных органах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труду и занятости или</w:t>
      </w:r>
      <w:proofErr w:type="gramEnd"/>
      <w:r>
        <w:t xml:space="preserve"> ее территориальный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23. Контролируемое лицо в течение 10 дней со дня получения предостережения о недопустимости нарушения обязательных требований вправе подать в контрольный (надзорный) орган возражение в отношении </w:t>
      </w:r>
      <w:r>
        <w:lastRenderedPageBreak/>
        <w:t>указанного предостережения.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Возражение направляется в бумажном виде почтовым отправлением либо в виде электронного документа, подписанного в порядке, предусмотренном </w:t>
      </w:r>
      <w:hyperlink r:id="rId23" w:history="1">
        <w:r>
          <w:rPr>
            <w:color w:val="0000FF"/>
          </w:rPr>
          <w:t>статьей 21</w:t>
        </w:r>
      </w:hyperlink>
      <w:r>
        <w:t xml:space="preserve"> Закона о надзоре (контроле), на указанный в предостережении адрес электронной почты контрольного (надзорного) органа, либо иными указанными в предостережении способами.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Возражение должно содержать: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сведения о </w:t>
      </w:r>
      <w:proofErr w:type="gramStart"/>
      <w:r>
        <w:t>предостережении</w:t>
      </w:r>
      <w:proofErr w:type="gramEnd"/>
      <w:r>
        <w:t xml:space="preserve"> о недопустимости нарушения обязательных требований и должностном лице, направившем такое предостережение;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доводы, на основании которых заявитель не согласен с предостережением о недопустимости нарушения обязательных требований.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 возражении излагаются доводы, на основании которых заявитель не согласен с предостережением о недопустимости нарушения обязательных требований.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Возражение рассматривается уполномоченными должностными лицами Федеральной службы по труду и занятости или ее территориальных органов, по результатам рассмотрения направляется контролируемому лицу в течение 20 рабочих дней со дня получения возражения ответ.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24. Федеральная служба по труду и занятости и ее территориальные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25. Должностные лица Федеральной службы по труду и занятости и ее территориальных органов по обращениям контролируемых лиц и их представителей осуществляют консультирование в соответствии с положениями </w:t>
      </w:r>
      <w:hyperlink r:id="rId24" w:history="1">
        <w:r>
          <w:rPr>
            <w:color w:val="0000FF"/>
          </w:rPr>
          <w:t>статьи 50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Консультирование может осуществляться должностным лицом Федеральной службы по труду и занятости или ее территориального органа по обращениям контролируемых лиц, их представителей по телефону, посредством видео-конференц-связи, на личном приеме либо в ходе </w:t>
      </w:r>
      <w:r>
        <w:lastRenderedPageBreak/>
        <w:t>проведения профилактического мероприятия, контрольного (надзорного) мероприятия.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4" w:name="P126"/>
      <w:bookmarkEnd w:id="4"/>
      <w:r>
        <w:t>26. Должностные лица Федеральной службы по труду и занятости и ее территориальных органов осуществляют консультирование по следующим вопросам: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организация и осуществление государственного контроля (надзора);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порядок организации и проведения контрольных (надзорных) мероприятий;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гарантии и защита прав контролируемых лиц;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г) эффективные средства и методы соблюдения обязательных требований трудового законодательства и иных нормативных правовых актов, содержащих нормы трудового права, по выявленным нарушениям;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д) исполнение решений контрольных (надзорных) органов.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 xml:space="preserve">По итогам консультирования информация в письменной форме не предоставляется контролируемым лицам, их представителям, за исключением случаев консультирования по вопросам, указанным в </w:t>
      </w:r>
      <w:hyperlink w:anchor="P126" w:history="1">
        <w:r>
          <w:rPr>
            <w:color w:val="0000FF"/>
          </w:rPr>
          <w:t>пункте 26</w:t>
        </w:r>
      </w:hyperlink>
      <w:r>
        <w:t xml:space="preserve"> настоящего Положения, на основании обращения контролируемых лиц, их представителей, поступившего в письменной форме или в форме электронного документа, в сроки, установленные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t>28.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труду и занятости и ее территориальных органов,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29. </w:t>
      </w:r>
      <w:proofErr w:type="gramStart"/>
      <w:r>
        <w:t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Федеральной службы по труду и занятости в информационно-телекоммуникационной сети "Интернет" письменного разъяснения, подписанного руководителем Федеральной службы по труду и занятости - главным государственным инспектором труда</w:t>
      </w:r>
      <w:proofErr w:type="gramEnd"/>
      <w:r>
        <w:t xml:space="preserve"> Российской Федерации или его заместителем, без указания в таком разъяснении сведений, отнесенных к категории ограниченного доступа.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lastRenderedPageBreak/>
        <w:t>30. Уполномоченные должностные лица Федеральной службы по труду и занятости и ее территориальных органов осуществляют учет консультаций.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31. Профилактический визит проводится уполномоченным должностным лицом Федеральной службы по труду и занятости или ее территориального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</w:t>
      </w:r>
      <w:hyperlink r:id="rId26" w:history="1">
        <w:r>
          <w:rPr>
            <w:color w:val="0000FF"/>
          </w:rPr>
          <w:t>статьи 52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32. Обязательные профилактические визиты проводятся в отношении: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объектов контроля, отнесенных к категориям высокого и значительного риска;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контролируемых лиц, приступающих к осуществлению деятельности в сферах, имеющих высокий уровень наличия производственного травматизма, сопряженного с тяжелыми повреждениями здоровья либо со смертельным исходом, в течение 3 лет, предшествующих началу осуществления деятельности контролируемым лицом.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33. Срок проведения обязательного профилактического визита не может превышать 8 часов.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34. </w:t>
      </w:r>
      <w:proofErr w:type="gramStart"/>
      <w:r>
        <w:t>В ходе обязательного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35. Государственный контроль (надзор) осуществляется посредством проведения следующих контрольных (надзорных) мероприятий: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5" w:name="P146"/>
      <w:bookmarkEnd w:id="5"/>
      <w:r>
        <w:t>инспекционный визит;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рейдовый осмотр;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6" w:name="P148"/>
      <w:bookmarkEnd w:id="6"/>
      <w:r>
        <w:t>документарная проверка;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7" w:name="P149"/>
      <w:bookmarkEnd w:id="7"/>
      <w:r>
        <w:t>выездная проверка.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По основаниям, указанным в </w:t>
      </w:r>
      <w:hyperlink r:id="rId27" w:history="1">
        <w:r>
          <w:rPr>
            <w:color w:val="0000FF"/>
          </w:rPr>
          <w:t>пунктах 1</w:t>
        </w:r>
      </w:hyperlink>
      <w:r>
        <w:t xml:space="preserve"> и </w:t>
      </w:r>
      <w:hyperlink r:id="rId28" w:history="1">
        <w:r>
          <w:rPr>
            <w:color w:val="0000FF"/>
          </w:rPr>
          <w:t>3</w:t>
        </w:r>
      </w:hyperlink>
      <w:r>
        <w:t xml:space="preserve"> - </w:t>
      </w:r>
      <w:hyperlink r:id="rId29" w:history="1">
        <w:r>
          <w:rPr>
            <w:color w:val="0000FF"/>
          </w:rPr>
          <w:t>5 части 1 статьи 57</w:t>
        </w:r>
      </w:hyperlink>
      <w:r>
        <w:t xml:space="preserve"> Закона о </w:t>
      </w:r>
      <w:r>
        <w:lastRenderedPageBreak/>
        <w:t xml:space="preserve">контроле (надзоре), могут быть проведены контрольные (надзорные) мероприятия, указанные в </w:t>
      </w:r>
      <w:hyperlink w:anchor="P14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49" w:history="1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По основанию, указанному в </w:t>
      </w:r>
      <w:hyperlink r:id="rId30" w:history="1">
        <w:r>
          <w:rPr>
            <w:color w:val="0000FF"/>
          </w:rPr>
          <w:t>пункте 2 части 1 статьи 57</w:t>
        </w:r>
      </w:hyperlink>
      <w:r>
        <w:t xml:space="preserve"> Закона и контроле (надзоре), проводится выездная проверка.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Мероприятия, указанные в </w:t>
      </w:r>
      <w:hyperlink w:anchor="P14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48" w:history="1">
        <w:r>
          <w:rPr>
            <w:color w:val="0000FF"/>
          </w:rPr>
          <w:t>четвертом</w:t>
        </w:r>
      </w:hyperlink>
      <w:r>
        <w:t xml:space="preserve"> настоящего пункта, осуществляются только на внеплановой основе.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36.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37. Для фиксации инспектором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 в случаях проведения: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выездной проверки;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инспекционного визита;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рейдового осмотра.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Если в ходе контрольных (надзорных) действий для фиксации доказательств нарушений обязательных требований осуществлялись фотосъемка, ауди</w:t>
      </w:r>
      <w:proofErr w:type="gramStart"/>
      <w:r>
        <w:t>о-</w:t>
      </w:r>
      <w:proofErr w:type="gramEnd"/>
      <w:r>
        <w:t xml:space="preserve"> и (или) видеозапись, об этом делается отметка в акте контрольного (надзорного) мероприятия.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Проведение фотосъемки, аудио- и видеозаписи должно обеспечивать фиксацию даты, времени и места их проведения.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Материалы, являющиеся доказательствами нарушения обязательных требований, полученные с применением фотосъемки, ауди</w:t>
      </w:r>
      <w:proofErr w:type="gramStart"/>
      <w:r>
        <w:t>о-</w:t>
      </w:r>
      <w:proofErr w:type="gramEnd"/>
      <w:r>
        <w:t xml:space="preserve"> и (или) видеозаписи, приобщаются к акту контрольного (надзорного) мероприятия.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>Работодатель - физическое лицо и индивидуальный предприниматель, являющиеся контролируемыми лицами, вправе представить в Федеральную службу по труду и занятости или ее территориальный орган информацию о невозможности присутствия при проведении контрольного (надзорного) мероприятия в случае их временной нетрудоспособности, а также в случаях катастрофы природного или техногенного характера, эпидемии или эпизоотии, введения чрезвычайного или военного положения.</w:t>
      </w:r>
      <w:proofErr w:type="gramEnd"/>
      <w:r>
        <w:t xml:space="preserve"> В указанных случаях проведение контрольного (надзорного) мероприятия переносится контрольным (надзорным) органом </w:t>
      </w:r>
      <w:r>
        <w:lastRenderedPageBreak/>
        <w:t>на срок, необходимый для устранения обстоятельств, послуживших поводом для такого обращения индивидуального предпринимателя, гражданина в контрольный (надзорный) орган, за исключением случаев, когда проведение контрольного (надзорного) мероприятия возможно без его участия.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39.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соответствии с положениями </w:t>
      </w:r>
      <w:hyperlink r:id="rId31" w:history="1">
        <w:r>
          <w:rPr>
            <w:color w:val="0000FF"/>
          </w:rPr>
          <w:t>статьи 70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40. В ходе инспекционного визита могут совершаться следующие контрольные (надзорные) действия: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осмотр;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опрос;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получение письменных объяснений;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41. Рейдовый осмотр проводится в отношении контролируемых лиц, осуществляющих деятельность на объектах, которыми владеет, пользуется или управляет другой работодатель (иное лицо), в соответствии с положениями </w:t>
      </w:r>
      <w:hyperlink r:id="rId32" w:history="1">
        <w:r>
          <w:rPr>
            <w:color w:val="0000FF"/>
          </w:rPr>
          <w:t>статьи 71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42. В ходе рейдового осмотра могут совершаться следующие контрольные (надзорные) действия: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осмотр;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опрос;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получение письменных объяснений;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истребование документов;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lastRenderedPageBreak/>
        <w:t>экспертиза.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Рейдовый осмотр проводится в соответствии с решением о проведении контрольного (надзорного) мероприятия.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3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4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35" w:history="1">
        <w:r>
          <w:rPr>
            <w:color w:val="0000FF"/>
          </w:rPr>
          <w:t>частью 12 статьи 66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43. Документарная проверка проводится в соответствии с положениями </w:t>
      </w:r>
      <w:hyperlink r:id="rId36" w:history="1">
        <w:r>
          <w:rPr>
            <w:color w:val="0000FF"/>
          </w:rPr>
          <w:t>статьи 72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получение письменных объяснений;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истребование документов;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экспертиза.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45. Документарная проверка проводится с учетом требований законодательства об охраняемой законом тайне.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46. Срок проведения документарной проверки не может превышать 10 рабочих дней.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gramStart"/>
      <w:r>
        <w:t>В указанный срок не включается период с момента направления Федеральной службой по труду и занятости или ее территориальным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</w:t>
      </w:r>
      <w:proofErr w:type="gramEnd"/>
      <w:r>
        <w:t xml:space="preserve"> </w:t>
      </w:r>
      <w:proofErr w:type="gramStart"/>
      <w:r>
        <w:t>документах либо о несоответствии сведений, содержащихся в этих документах, сведениям, содержащимся в имеющихся в Федеральной службе по труду и занятости или ее территориальных органах документах и (или) полученным при осуществлении федерального государственного контроля (надзора) в сфере труда,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114766" w:rsidRDefault="00114766">
      <w:pPr>
        <w:pStyle w:val="ConsPlusNormal"/>
        <w:spacing w:before="280"/>
        <w:ind w:firstLine="540"/>
        <w:jc w:val="both"/>
      </w:pPr>
      <w:r>
        <w:lastRenderedPageBreak/>
        <w:t xml:space="preserve">47. Выездная проверка проводится в соответствии с положениями </w:t>
      </w:r>
      <w:hyperlink r:id="rId37" w:history="1">
        <w:r>
          <w:rPr>
            <w:color w:val="0000FF"/>
          </w:rPr>
          <w:t>статьи 73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48. В ходе выездной проверки могут совершаться следующие контрольные (надзорные) действия: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осмотр;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опрос;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получение письменных объяснений;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истребование документов;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экспертиза.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49. Срок проведения выездной проверки устанавливается в пределах 10 рабочих дней.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 или обособленному структурному подразделению организации или производственному объекту.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Внеплановая выездная проверка проводится только по согласованию с органами прокуратуры, за исключением случаев ее проведения в соответствии с </w:t>
      </w:r>
      <w:hyperlink r:id="rId38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9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40" w:history="1">
        <w:r>
          <w:rPr>
            <w:color w:val="0000FF"/>
          </w:rPr>
          <w:t>частью 12 статьи 66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t>позднее</w:t>
      </w:r>
      <w:proofErr w:type="gramEnd"/>
      <w:r>
        <w:t xml:space="preserve"> чем за 24 часа до ее начала в порядке, предусмотренном </w:t>
      </w:r>
      <w:hyperlink r:id="rId41" w:history="1">
        <w:r>
          <w:rPr>
            <w:color w:val="0000FF"/>
          </w:rPr>
          <w:t>статьей 21</w:t>
        </w:r>
      </w:hyperlink>
      <w:r>
        <w:t xml:space="preserve"> Закона о контроле (надзоре), за исключением случаев, указанных в </w:t>
      </w:r>
      <w:hyperlink r:id="rId42" w:history="1">
        <w:r>
          <w:rPr>
            <w:color w:val="0000FF"/>
          </w:rPr>
          <w:t>части 12 статьи 66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 xml:space="preserve">50. По окончании проведения контрольного (надзорного) мероприятия составляется акт контрольного (надзорного) мероприятия в соответствии с положениями </w:t>
      </w:r>
      <w:hyperlink r:id="rId43" w:history="1">
        <w:r>
          <w:rPr>
            <w:color w:val="0000FF"/>
          </w:rPr>
          <w:t>Закона</w:t>
        </w:r>
      </w:hyperlink>
      <w:r>
        <w:t xml:space="preserve">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51. Результаты контрольного (надзорного) мероприятия, содержащие </w:t>
      </w:r>
      <w:r>
        <w:lastRenderedPageBreak/>
        <w:t>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  <w:outlineLvl w:val="1"/>
      </w:pPr>
      <w:r>
        <w:t xml:space="preserve">VI. Досудебный порядок обжалования решений </w:t>
      </w:r>
      <w:proofErr w:type="gramStart"/>
      <w:r>
        <w:t>Федеральной</w:t>
      </w:r>
      <w:proofErr w:type="gramEnd"/>
    </w:p>
    <w:p w:rsidR="00114766" w:rsidRDefault="00114766">
      <w:pPr>
        <w:pStyle w:val="ConsPlusTitle"/>
        <w:jc w:val="center"/>
      </w:pPr>
      <w:r>
        <w:t>службы по труду и занятости или ее территориальных органов,</w:t>
      </w:r>
    </w:p>
    <w:p w:rsidR="00114766" w:rsidRDefault="00114766">
      <w:pPr>
        <w:pStyle w:val="ConsPlusTitle"/>
        <w:jc w:val="center"/>
      </w:pPr>
      <w:r>
        <w:t>действий (бездействия) должностных лиц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 xml:space="preserve">52. Контролируемое лицо вправе обжаловать решения контрольного (надзорного) органа, действия (бездействия) его должностных лиц в порядке, предусмотренном </w:t>
      </w:r>
      <w:hyperlink r:id="rId44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5" w:history="1">
        <w:r>
          <w:rPr>
            <w:color w:val="0000FF"/>
          </w:rPr>
          <w:t>43</w:t>
        </w:r>
      </w:hyperlink>
      <w:r>
        <w:t xml:space="preserve"> Закона о контроле (надзоре).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53. Жалобы на решения территориального органа Федеральной службы по труду и занятости, действия (бездействие) его должностных лиц рассматриваются руководителем (заместителем руководителя) территориального органа либо Федеральной службой по труду и занятости.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Жалобы на действия (бездействие) руководителя (заместителя руководителя) территориального органа Федеральной службы по труду и занятости рассматриваются Федеральной службой по труду и занятости.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При обжаловании решений, принятых должностными лицами Федеральной службы по труду и занятости, действий (бездействия) должностных лиц Федеральной службы по труду и занятости жалоба рассматривается руководителем Федеральной службы по труду и занятости.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right"/>
        <w:outlineLvl w:val="1"/>
      </w:pPr>
      <w:r>
        <w:t>Приложение</w:t>
      </w:r>
    </w:p>
    <w:p w:rsidR="00114766" w:rsidRDefault="00114766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114766" w:rsidRDefault="00114766">
      <w:pPr>
        <w:pStyle w:val="ConsPlusNormal"/>
        <w:jc w:val="right"/>
      </w:pPr>
      <w:r>
        <w:t xml:space="preserve">государственном </w:t>
      </w:r>
      <w:proofErr w:type="gramStart"/>
      <w:r>
        <w:t>контроле</w:t>
      </w:r>
      <w:proofErr w:type="gramEnd"/>
      <w:r>
        <w:t xml:space="preserve"> (надзоре)</w:t>
      </w:r>
    </w:p>
    <w:p w:rsidR="00114766" w:rsidRDefault="00114766">
      <w:pPr>
        <w:pStyle w:val="ConsPlusNormal"/>
        <w:jc w:val="right"/>
      </w:pPr>
      <w:r>
        <w:t xml:space="preserve">за соблюдением </w:t>
      </w:r>
      <w:proofErr w:type="gramStart"/>
      <w:r>
        <w:t>трудового</w:t>
      </w:r>
      <w:proofErr w:type="gramEnd"/>
    </w:p>
    <w:p w:rsidR="00114766" w:rsidRDefault="00114766">
      <w:pPr>
        <w:pStyle w:val="ConsPlusNormal"/>
        <w:jc w:val="right"/>
      </w:pPr>
      <w:r>
        <w:t>законодательства и иных нормативных</w:t>
      </w:r>
    </w:p>
    <w:p w:rsidR="00114766" w:rsidRDefault="00114766">
      <w:pPr>
        <w:pStyle w:val="ConsPlusNormal"/>
        <w:jc w:val="right"/>
      </w:pPr>
      <w:r>
        <w:t>правовых актов, содержащих нормы</w:t>
      </w:r>
    </w:p>
    <w:p w:rsidR="00114766" w:rsidRDefault="00114766">
      <w:pPr>
        <w:pStyle w:val="ConsPlusNormal"/>
        <w:jc w:val="right"/>
      </w:pPr>
      <w:r>
        <w:t>трудового права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</w:pPr>
      <w:bookmarkStart w:id="8" w:name="P226"/>
      <w:bookmarkEnd w:id="8"/>
      <w:r>
        <w:t>КРИТЕРИИ</w:t>
      </w:r>
    </w:p>
    <w:p w:rsidR="00114766" w:rsidRDefault="00114766">
      <w:pPr>
        <w:pStyle w:val="ConsPlusTitle"/>
        <w:jc w:val="center"/>
      </w:pPr>
      <w:r>
        <w:t>ОТНЕСЕНИЯ ОБЪЕКТОВ ФЕДЕРАЛЬНОГО ГОСУДАРСТВЕННОГО КОНТРОЛЯ</w:t>
      </w:r>
    </w:p>
    <w:p w:rsidR="00114766" w:rsidRDefault="00114766">
      <w:pPr>
        <w:pStyle w:val="ConsPlusTitle"/>
        <w:jc w:val="center"/>
      </w:pPr>
      <w:r>
        <w:t>(НАДЗОРА) ЗА СОБЛЮДЕНИЕМ ТРУДОВОГО ЗАКОНОДАТЕЛЬСТВА И ИНЫХ</w:t>
      </w:r>
    </w:p>
    <w:p w:rsidR="00114766" w:rsidRDefault="00114766">
      <w:pPr>
        <w:pStyle w:val="ConsPlusTitle"/>
        <w:jc w:val="center"/>
      </w:pPr>
      <w:r>
        <w:t xml:space="preserve">НОРМАТИВНЫХ ПРАВОВЫХ АКТОВ, СОДЕРЖАЩИХ НОРМЫ </w:t>
      </w:r>
      <w:proofErr w:type="gramStart"/>
      <w:r>
        <w:t>ТРУДОВОГО</w:t>
      </w:r>
      <w:proofErr w:type="gramEnd"/>
    </w:p>
    <w:p w:rsidR="00114766" w:rsidRDefault="00114766">
      <w:pPr>
        <w:pStyle w:val="ConsPlusTitle"/>
        <w:jc w:val="center"/>
      </w:pPr>
      <w:r>
        <w:lastRenderedPageBreak/>
        <w:t>ПРАВА, К ОПРЕДЕЛЕННОЙ КАТЕГОРИИ РИСКА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1. Объекты контроля относятся к следующим категориям риска в зависимости от показателя тяжести (потенциального риска) причинения вреда (ущерба) охраняемым законом ценностям: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высокий риск - в случае, если показатель потенциального риска причинения вреда охраняемым законом ценностям в сфере труда составляет 1 и более;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значительный риск - в случае, если показатель потенциального риска причинения вреда охраняемым законом ценностям в сфере труда составляет от 0,99 до 0,75;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средний риск - в случае, если показатель потенциального риска причинения вреда охраняемым законом ценностям в сфере труда составляет от 0,74 до 0,5;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г) умеренный риск - в случае, если показатель потенциального риска причинения вреда охраняемым законом ценностям в сфере труда составляет от 0,49 до 0,25;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д) низкий риск - в случае, если показатель потенциального риска причинения вреда охраняемым законом ценностям в сфере труда составляет менее 0,24.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2. Значение показателя потенциального риска причинения вреда охраняемым законом ценностям в сфере труда (Р) определяется по формуле: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center"/>
      </w:pPr>
      <w:proofErr w:type="gramStart"/>
      <w:r>
        <w:t>Р</w:t>
      </w:r>
      <w:proofErr w:type="gramEnd"/>
      <w:r>
        <w:t xml:space="preserve"> = Т + Ку,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где: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Т - показатель тяжести потенциальных негативных последствий возможного несоблюдения работодателями обязательных требований;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Ку - коэффициент устойчивости добросовестного поведения работодателей, связанного с исполнением обязательных требований.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3. Показатель тяжести потенциальных негативных последствий возможного несоблюдения работодателями обязательных требований (Т) при осуществлении определенного вида деятельности определяется по формуле: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center"/>
      </w:pPr>
      <w:r>
        <w:t>Т = ПВ x М,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где: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lastRenderedPageBreak/>
        <w:t>ПВ - показатель потенциального вреда охраняемым законом ценностям в сфере труда из-за возможного несоблюдения обязательных требований;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М - показатель масштаба распространения потенциальных негативных последствий в случае причинения вреда охраняемым законом ценностям в сфере труда.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4. Показатель потенциального вреда охраняемым законом ценностям в сфере труда из-за возможного несоблюдения обязательных требований (ПВ) при осуществлении определенного вида деятельности определяется по формуле: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center"/>
      </w:pPr>
      <w:r>
        <w:t>ПВ = 4 x</w:t>
      </w:r>
      <w:proofErr w:type="gramStart"/>
      <w:r>
        <w:t xml:space="preserve"> С</w:t>
      </w:r>
      <w:proofErr w:type="gramEnd"/>
      <w:r>
        <w:t xml:space="preserve"> + 2 x Т</w:t>
      </w:r>
      <w:r>
        <w:rPr>
          <w:vertAlign w:val="subscript"/>
        </w:rPr>
        <w:t>1</w:t>
      </w:r>
      <w:r>
        <w:t xml:space="preserve"> + 0,5 x Л,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где: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количественная</w:t>
      </w:r>
      <w:proofErr w:type="gramEnd"/>
      <w:r>
        <w:t xml:space="preserve"> оценка по показателю, касающемуся численности работников, погибших в результате несчастных случаев, на 1000 работающих в отрасли;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Т</w:t>
      </w:r>
      <w:proofErr w:type="gramStart"/>
      <w:r>
        <w:rPr>
          <w:vertAlign w:val="subscript"/>
        </w:rPr>
        <w:t>1</w:t>
      </w:r>
      <w:proofErr w:type="gramEnd"/>
      <w:r>
        <w:t xml:space="preserve"> - количественная оценка по показателю, касающемуся численности работников, пострадавших в результате тяжелых несчастных случаев, на 1000 работающих в отрасли;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Л - количественная оценка по показателю, касающемуся численности работников, пострадавших в результате легких несчастных случаев, на 1000 работающих в отрасли.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5. Значение показателя масштаба распространения потенциальных негативных последствий в случае причинения вреда охраняемым законом ценностям в сфере труда (М) в зависимости от среднесписочной численности работников, занятых у работодателя, составляет: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0,5 - при среднесписочной численности работников менее 200 человек;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0,7 - при среднесписочной численности работников от 200 до 499 человек;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1 - при среднесписочной численности работников от 500 до 999 человек;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г) 1,5 - при среднесписочной численности работников свыше 1000 человек.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6. Для работодателей значение коэффициента устойчивости их </w:t>
      </w:r>
      <w:r>
        <w:lastRenderedPageBreak/>
        <w:t>добросовестного поведения, связанного с исполнением обязательных требований (Ку), определяется индивидуально для каждого работодателя.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7. Значение коэффициента устойчивости поведения работодателя, связанного с исполнением обязательных требований (Ку), рассчитывается на основе переменных показателей деятельности хозяйствующих субъектов исходя из показателей, учитывающих соблюдение законодательства в сфере труда, по формуле: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center"/>
      </w:pPr>
      <w:r>
        <w:t xml:space="preserve">Ку = </w:t>
      </w:r>
      <w:proofErr w:type="spellStart"/>
      <w:r>
        <w:t>Кт</w:t>
      </w:r>
      <w:proofErr w:type="spellEnd"/>
      <w:r>
        <w:t xml:space="preserve"> + </w:t>
      </w:r>
      <w:proofErr w:type="spellStart"/>
      <w:proofErr w:type="gramStart"/>
      <w:r>
        <w:t>Кз</w:t>
      </w:r>
      <w:proofErr w:type="spellEnd"/>
      <w:proofErr w:type="gramEnd"/>
      <w:r>
        <w:t xml:space="preserve"> + </w:t>
      </w:r>
      <w:proofErr w:type="spellStart"/>
      <w:r>
        <w:t>Кадм</w:t>
      </w:r>
      <w:proofErr w:type="spellEnd"/>
      <w:r>
        <w:t>,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где: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spellStart"/>
      <w:r>
        <w:t>Кт</w:t>
      </w:r>
      <w:proofErr w:type="spellEnd"/>
      <w: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травматизма;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Кз</w:t>
      </w:r>
      <w:proofErr w:type="spellEnd"/>
      <w:proofErr w:type="gramEnd"/>
      <w: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факта задолженности по заработной плате за предшествующий год, равный 0,3. При отсутствии задолженности по заработной плате за предшествующий год </w:t>
      </w:r>
      <w:proofErr w:type="spellStart"/>
      <w:proofErr w:type="gramStart"/>
      <w:r>
        <w:t>Кз</w:t>
      </w:r>
      <w:proofErr w:type="spellEnd"/>
      <w:proofErr w:type="gramEnd"/>
      <w:r>
        <w:t xml:space="preserve"> равен 0;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spellStart"/>
      <w:r>
        <w:t>Кадм</w:t>
      </w:r>
      <w:proofErr w:type="spellEnd"/>
      <w:r>
        <w:t xml:space="preserve"> - индивидуальный коэффициент показателя потенциального риска причинения вреда охраняемым законом ценностям в сфере труда при наличии факта назначенных административных наказаний за нарушение обязательных требований в сфере труда за 3 года, предшествующих текущему году, равный 0,1.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8.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(</w:t>
      </w:r>
      <w:proofErr w:type="spellStart"/>
      <w:r>
        <w:t>Кт</w:t>
      </w:r>
      <w:proofErr w:type="spellEnd"/>
      <w:r>
        <w:t>) рассчитывается по формуле: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center"/>
      </w:pPr>
      <w:proofErr w:type="spellStart"/>
      <w:r>
        <w:t>Кт</w:t>
      </w:r>
      <w:proofErr w:type="spellEnd"/>
      <w:r>
        <w:t xml:space="preserve"> = </w:t>
      </w:r>
      <w:proofErr w:type="spellStart"/>
      <w:r>
        <w:t>Ктт</w:t>
      </w:r>
      <w:proofErr w:type="spellEnd"/>
      <w:r>
        <w:t xml:space="preserve"> + </w:t>
      </w:r>
      <w:proofErr w:type="spellStart"/>
      <w:r>
        <w:t>Ктл</w:t>
      </w:r>
      <w:proofErr w:type="spellEnd"/>
      <w:r>
        <w:t>,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ind w:firstLine="540"/>
        <w:jc w:val="both"/>
      </w:pPr>
      <w:r>
        <w:t>где: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spellStart"/>
      <w:r>
        <w:t>Ктт</w:t>
      </w:r>
      <w:proofErr w:type="spellEnd"/>
      <w:r>
        <w:t xml:space="preserve"> - показатель наличия тяжелых несчастных случаев, признанных случаями, связанными с производством, за год, предшествующий текущему году, равный 0,4 за каждый тяжелый несчастный случай, признанный связанным с производством;</w:t>
      </w:r>
    </w:p>
    <w:p w:rsidR="00114766" w:rsidRDefault="00114766">
      <w:pPr>
        <w:pStyle w:val="ConsPlusNormal"/>
        <w:spacing w:before="280"/>
        <w:ind w:firstLine="540"/>
        <w:jc w:val="both"/>
      </w:pPr>
      <w:proofErr w:type="spellStart"/>
      <w:r>
        <w:t>Ктл</w:t>
      </w:r>
      <w:proofErr w:type="spellEnd"/>
      <w:r>
        <w:t xml:space="preserve"> - показатель наличия легких несчастных случаев, признанных случаями, связанными с производством, за год, предшествующий текущему году, равный 0,1, за каждый легкий несчастный случай, признанный случаем, связанным с производством.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9" w:name="P281"/>
      <w:bookmarkEnd w:id="9"/>
      <w:r>
        <w:lastRenderedPageBreak/>
        <w:t>9. Индивидуальные коэффициенты рассчитываются на основании: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а) данных ведомственной отчетности о результатах контрольно-надзорной деятельности, представленных территориальными органами Федеральной службы по труду и занятости за 3 года, предшествующих текущему году;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б) сведений о травматизме за 3 года, предшествующих текущему году;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в) сведений о задолженности по заработной плате за предшествующий год.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10. При отсутствии сведений, указанных в </w:t>
      </w:r>
      <w:hyperlink w:anchor="P281" w:history="1">
        <w:r>
          <w:rPr>
            <w:color w:val="0000FF"/>
          </w:rPr>
          <w:t>пункте 9</w:t>
        </w:r>
      </w:hyperlink>
      <w:r>
        <w:t xml:space="preserve"> настоящего документа, в статистической и ведомственной отчетности индивидуальные коэффициенты показателя потенциального риска причинения вреда охраняемым законом ценностям в сфере труда равны нулю.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11. При наличии смертельного несчастного случая, признанного случаем, связанным с производством (за исключением несчастных случаев, произошедших по вине третьих лиц), за 3 года, предшествующих текущему году, присваивается высокая категория риска.</w:t>
      </w:r>
    </w:p>
    <w:p w:rsidR="00114766" w:rsidRDefault="00114766">
      <w:pPr>
        <w:pStyle w:val="ConsPlusNormal"/>
        <w:spacing w:before="280"/>
        <w:ind w:firstLine="540"/>
        <w:jc w:val="both"/>
      </w:pPr>
      <w:bookmarkStart w:id="10" w:name="P287"/>
      <w:bookmarkEnd w:id="10"/>
      <w:r>
        <w:t xml:space="preserve">12. </w:t>
      </w:r>
      <w:proofErr w:type="gramStart"/>
      <w:r>
        <w:t xml:space="preserve">При отсутствии случаев смертельного травматизма (за 3 года, предшествующих текущему году), тяжелого травматизма (за год, предшествующий текущему году), факта наличия не выплаченной в установленный срок заработной платы (за год, предшествующий текущему году) и вступившего в законную силу постановления по делу об административных правонарушениях, предусмотренных </w:t>
      </w:r>
      <w:hyperlink r:id="rId46" w:history="1">
        <w:r>
          <w:rPr>
            <w:color w:val="0000FF"/>
          </w:rPr>
          <w:t>частями 1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, </w:t>
      </w:r>
      <w:hyperlink r:id="rId48" w:history="1">
        <w:r>
          <w:rPr>
            <w:color w:val="0000FF"/>
          </w:rPr>
          <w:t>4</w:t>
        </w:r>
      </w:hyperlink>
      <w:r>
        <w:t xml:space="preserve"> и </w:t>
      </w:r>
      <w:hyperlink r:id="rId49" w:history="1">
        <w:r>
          <w:rPr>
            <w:color w:val="0000FF"/>
          </w:rPr>
          <w:t>6 статьи 5.27</w:t>
        </w:r>
      </w:hyperlink>
      <w:r>
        <w:t xml:space="preserve"> и </w:t>
      </w:r>
      <w:hyperlink r:id="rId50" w:history="1">
        <w:r>
          <w:rPr>
            <w:color w:val="0000FF"/>
          </w:rPr>
          <w:t>частями 1</w:t>
        </w:r>
      </w:hyperlink>
      <w:r>
        <w:t xml:space="preserve"> - </w:t>
      </w:r>
      <w:hyperlink r:id="rId51" w:history="1">
        <w:r>
          <w:rPr>
            <w:color w:val="0000FF"/>
          </w:rPr>
          <w:t>4 статьи 5.27.1</w:t>
        </w:r>
      </w:hyperlink>
      <w:r>
        <w:t xml:space="preserve"> Кодекса Российской</w:t>
      </w:r>
      <w:proofErr w:type="gramEnd"/>
      <w:r>
        <w:t xml:space="preserve"> Федерации об административных правонарушениях, вынесенного за год, предшествующий текущему году, категория риска, присвоенная деятельности работодателя, подлежит снижению до следующей категории риска.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>Решение о снижении категории риска принимается при отсутствии всех указанных случаев и не чаще чем один раз в год.</w:t>
      </w:r>
    </w:p>
    <w:p w:rsidR="00114766" w:rsidRDefault="00114766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 xml:space="preserve">Для работодателей со среднесписочной численностью работников свыше 1000 человек решение о снижении категории риска, присвоенной деятельности работодателя, до следующей категории риска, принятое по заявлению такого работодателя в случаях, указанных в </w:t>
      </w:r>
      <w:hyperlink w:anchor="P287" w:history="1">
        <w:r>
          <w:rPr>
            <w:color w:val="0000FF"/>
          </w:rPr>
          <w:t>пункте 12</w:t>
        </w:r>
      </w:hyperlink>
      <w:r>
        <w:t xml:space="preserve"> настоящего документа, размещается на официальном сайте Федеральной службы по труду и занятости в информационно-телекоммуникационной сети "Интернет" в течение 5 календарных дней со дня принятия такого решения.</w:t>
      </w:r>
      <w:proofErr w:type="gramEnd"/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Normal"/>
        <w:jc w:val="right"/>
        <w:outlineLvl w:val="2"/>
      </w:pPr>
      <w:r>
        <w:t>Приложение</w:t>
      </w:r>
    </w:p>
    <w:p w:rsidR="00114766" w:rsidRDefault="00114766">
      <w:pPr>
        <w:pStyle w:val="ConsPlusNormal"/>
        <w:jc w:val="right"/>
      </w:pPr>
      <w:r>
        <w:t>к критериям отнесения объектов</w:t>
      </w:r>
    </w:p>
    <w:p w:rsidR="00114766" w:rsidRDefault="00114766">
      <w:pPr>
        <w:pStyle w:val="ConsPlusNormal"/>
        <w:jc w:val="right"/>
      </w:pPr>
      <w:r>
        <w:t>федерального государственного</w:t>
      </w:r>
    </w:p>
    <w:p w:rsidR="00114766" w:rsidRDefault="00114766">
      <w:pPr>
        <w:pStyle w:val="ConsPlusNormal"/>
        <w:jc w:val="right"/>
      </w:pPr>
      <w:r>
        <w:t>контроля (надзора) за соблюдением</w:t>
      </w:r>
    </w:p>
    <w:p w:rsidR="00114766" w:rsidRDefault="00114766">
      <w:pPr>
        <w:pStyle w:val="ConsPlusNormal"/>
        <w:jc w:val="right"/>
      </w:pPr>
      <w:r>
        <w:t>трудового законодательства и иных</w:t>
      </w:r>
    </w:p>
    <w:p w:rsidR="00114766" w:rsidRDefault="00114766">
      <w:pPr>
        <w:pStyle w:val="ConsPlusNormal"/>
        <w:jc w:val="right"/>
      </w:pPr>
      <w:r>
        <w:t>нормативных правовых актов,</w:t>
      </w:r>
    </w:p>
    <w:p w:rsidR="00114766" w:rsidRDefault="00114766">
      <w:pPr>
        <w:pStyle w:val="ConsPlusNormal"/>
        <w:jc w:val="right"/>
      </w:pPr>
      <w:proofErr w:type="gramStart"/>
      <w:r>
        <w:t>содержащих</w:t>
      </w:r>
      <w:proofErr w:type="gramEnd"/>
      <w:r>
        <w:t xml:space="preserve"> нормы трудового права,</w:t>
      </w:r>
    </w:p>
    <w:p w:rsidR="00114766" w:rsidRDefault="00114766">
      <w:pPr>
        <w:pStyle w:val="ConsPlusNormal"/>
        <w:jc w:val="right"/>
      </w:pPr>
      <w:r>
        <w:t>к определенной категории риска</w:t>
      </w:r>
    </w:p>
    <w:p w:rsidR="00114766" w:rsidRDefault="00114766">
      <w:pPr>
        <w:pStyle w:val="ConsPlusNormal"/>
        <w:jc w:val="both"/>
      </w:pPr>
    </w:p>
    <w:p w:rsidR="00114766" w:rsidRDefault="00114766">
      <w:pPr>
        <w:pStyle w:val="ConsPlusTitle"/>
        <w:jc w:val="center"/>
      </w:pPr>
      <w:r>
        <w:t>ПЕРЕЧЕНЬ</w:t>
      </w:r>
    </w:p>
    <w:p w:rsidR="00114766" w:rsidRDefault="00114766">
      <w:pPr>
        <w:pStyle w:val="ConsPlusTitle"/>
        <w:jc w:val="center"/>
      </w:pPr>
      <w:r>
        <w:t>ЗНАЧЕНИЙ ПОКАЗАТЕЛЯ ПОТЕНЦИАЛЬНОГО ВРЕДА ОХРАНЯЕМЫМ ЗАКОНОМ</w:t>
      </w:r>
    </w:p>
    <w:p w:rsidR="00114766" w:rsidRDefault="00114766">
      <w:pPr>
        <w:pStyle w:val="ConsPlusTitle"/>
        <w:jc w:val="center"/>
      </w:pPr>
      <w:r>
        <w:t>ЦЕННОСТЯМ В СФЕРЕ ТРУДА ИЗ-ЗА ВОЗМОЖНОГО НЕСОБЛЮДЕНИЯ</w:t>
      </w:r>
    </w:p>
    <w:p w:rsidR="00114766" w:rsidRDefault="00114766">
      <w:pPr>
        <w:pStyle w:val="ConsPlusTitle"/>
        <w:jc w:val="center"/>
      </w:pPr>
      <w:r>
        <w:t>ОБЯЗАТЕЛЬНЫХ ТРЕБОВАНИЙ ПРИ ОСУЩЕСТВЛЕНИИ</w:t>
      </w:r>
    </w:p>
    <w:p w:rsidR="00114766" w:rsidRDefault="00114766">
      <w:pPr>
        <w:pStyle w:val="ConsPlusTitle"/>
        <w:jc w:val="center"/>
      </w:pPr>
      <w:r>
        <w:t>ОПРЕДЕЛЕННОГО ВИДА ДЕЯТЕЛЬНОСТИ</w:t>
      </w:r>
    </w:p>
    <w:p w:rsidR="00114766" w:rsidRDefault="001147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5099"/>
        <w:gridCol w:w="3469"/>
      </w:tblGrid>
      <w:tr w:rsidR="00114766"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4766" w:rsidRDefault="00114766">
            <w:pPr>
              <w:pStyle w:val="ConsPlusNormal"/>
              <w:jc w:val="center"/>
            </w:pPr>
            <w:r>
              <w:t xml:space="preserve">Наименование основного вида деятельности в соответствии с Общим </w:t>
            </w:r>
            <w:hyperlink r:id="rId5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Показатель потенциального вреда охраняемым законом ценностям в сфере труда из-за возможного несоблюдения обязательных требований (ПВ)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Сельское, лесное хозяйство, охота, рыболовство и рыбоводство (A)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0,49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Добыча полезных ископаемых (B)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1,49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Обрабатывающие производства (C)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0,96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Обеспечение электрической энергией, газом и паром, кондиционирование воздуха (D)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0,99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Водоснабжение,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0,97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Строительство (F)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0,87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Транспортировка и хранение (H)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0,85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Деятельность в области информации и связи (J)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0,58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Образование (P)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0,44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</w:pPr>
            <w:r>
              <w:t>Деятельность в области здравоохранения и социальных услуг (Q)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0,57</w:t>
            </w:r>
          </w:p>
        </w:tc>
      </w:tr>
      <w:tr w:rsidR="001147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66" w:rsidRDefault="00114766">
            <w:pPr>
              <w:pStyle w:val="ConsPlusNormal"/>
            </w:pPr>
            <w:r>
              <w:t>Прочие виды экономической деятельности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66" w:rsidRDefault="00114766">
            <w:pPr>
              <w:pStyle w:val="ConsPlusNormal"/>
              <w:jc w:val="center"/>
            </w:pPr>
            <w:r>
              <w:t>0,2</w:t>
            </w:r>
          </w:p>
        </w:tc>
      </w:tr>
    </w:tbl>
    <w:p w:rsidR="005C6781" w:rsidRDefault="005C6781"/>
    <w:sectPr w:rsidR="005C6781" w:rsidSect="0024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6"/>
    <w:rsid w:val="00114766"/>
    <w:rsid w:val="005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6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1476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14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6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1476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14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D3777CA627AF4B24A97A99B07ECD6B94F43F944F349ED69A0ADAF64BA12D3F0B2BDE90B47F12A732DC720501Z844K" TargetMode="External"/><Relationship Id="rId18" Type="http://schemas.openxmlformats.org/officeDocument/2006/relationships/hyperlink" Target="consultantplus://offline/ref=4CD3777CA627AF4B24A97A99B07ECD6B92FD38934F379ED69A0ADAF64BA12D3F192B869CB67109AC649334500E86A2EB5E71D1C53FA5Z048K" TargetMode="External"/><Relationship Id="rId26" Type="http://schemas.openxmlformats.org/officeDocument/2006/relationships/hyperlink" Target="consultantplus://offline/ref=4CD3777CA627AF4B24A97A99B07ECD6B95F5319146349ED69A0ADAF64BA12D3F192B869CB47709A032C9245447D3A7F5566DCFC521A50AB9ZA44K" TargetMode="External"/><Relationship Id="rId39" Type="http://schemas.openxmlformats.org/officeDocument/2006/relationships/hyperlink" Target="consultantplus://offline/ref=4CD3777CA627AF4B24A97A99B07ECD6B95F5319146349ED69A0ADAF64BA12D3F192B869CB4770AA439C9245447D3A7F5566DCFC521A50AB9ZA4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3777CA627AF4B24A97A99B07ECD6B95F5319146349ED69A0ADAF64BA12D3F192B869CB47709A539C9245447D3A7F5566DCFC521A50AB9ZA44K" TargetMode="External"/><Relationship Id="rId34" Type="http://schemas.openxmlformats.org/officeDocument/2006/relationships/hyperlink" Target="consultantplus://offline/ref=4CD3777CA627AF4B24A97A99B07ECD6B95F5319146349ED69A0ADAF64BA12D3F192B869CB4770AA439C9245447D3A7F5566DCFC521A50AB9ZA44K" TargetMode="External"/><Relationship Id="rId42" Type="http://schemas.openxmlformats.org/officeDocument/2006/relationships/hyperlink" Target="consultantplus://offline/ref=4CD3777CA627AF4B24A97A99B07ECD6B95F5319146349ED69A0ADAF64BA12D3F192B869CB4760DAF37C9245447D3A7F5566DCFC521A50AB9ZA44K" TargetMode="External"/><Relationship Id="rId47" Type="http://schemas.openxmlformats.org/officeDocument/2006/relationships/hyperlink" Target="consultantplus://offline/ref=4CD3777CA627AF4B24A97A99B07ECD6B92FD3C90473C9ED69A0ADAF64BA12D3F192B869AB07304AC649334500E86A2EB5E71D1C53FA5Z048K" TargetMode="External"/><Relationship Id="rId50" Type="http://schemas.openxmlformats.org/officeDocument/2006/relationships/hyperlink" Target="consultantplus://offline/ref=4CD3777CA627AF4B24A97A99B07ECD6B92FD3C90473C9ED69A0ADAF64BA12D3F192B8695B37E05AC649334500E86A2EB5E71D1C53FA5Z048K" TargetMode="External"/><Relationship Id="rId7" Type="http://schemas.openxmlformats.org/officeDocument/2006/relationships/hyperlink" Target="consultantplus://offline/ref=4CD3777CA627AF4B24A97A99B07ECD6B97F53B97473C9ED69A0ADAF64BA12D3F0B2BDE90B47F12A732DC720501Z844K" TargetMode="External"/><Relationship Id="rId12" Type="http://schemas.openxmlformats.org/officeDocument/2006/relationships/hyperlink" Target="consultantplus://offline/ref=4CD3777CA627AF4B24A97A99B07ECD6B94F4399647339ED69A0ADAF64BA12D3F0B2BDE90B47F12A732DC720501Z844K" TargetMode="External"/><Relationship Id="rId17" Type="http://schemas.openxmlformats.org/officeDocument/2006/relationships/hyperlink" Target="consultantplus://offline/ref=4CD3777CA627AF4B24A97A99B07ECD6B92FD38934F379ED69A0ADAF64BA12D3F192B869CB47605A235C9245447D3A7F5566DCFC521A50AB9ZA44K" TargetMode="External"/><Relationship Id="rId25" Type="http://schemas.openxmlformats.org/officeDocument/2006/relationships/hyperlink" Target="consultantplus://offline/ref=4CD3777CA627AF4B24A97A99B07ECD6B95FC3C9C44359ED69A0ADAF64BA12D3F192B869CB4770CA139C9245447D3A7F5566DCFC521A50AB9ZA44K" TargetMode="External"/><Relationship Id="rId33" Type="http://schemas.openxmlformats.org/officeDocument/2006/relationships/hyperlink" Target="consultantplus://offline/ref=4CD3777CA627AF4B24A97A99B07ECD6B95F5319146349ED69A0ADAF64BA12D3F192B869CB4770AA436C9245447D3A7F5566DCFC521A50AB9ZA44K" TargetMode="External"/><Relationship Id="rId38" Type="http://schemas.openxmlformats.org/officeDocument/2006/relationships/hyperlink" Target="consultantplus://offline/ref=4CD3777CA627AF4B24A97A99B07ECD6B95F5319146349ED69A0ADAF64BA12D3F192B869CB4770AA436C9245447D3A7F5566DCFC521A50AB9ZA44K" TargetMode="External"/><Relationship Id="rId46" Type="http://schemas.openxmlformats.org/officeDocument/2006/relationships/hyperlink" Target="consultantplus://offline/ref=4CD3777CA627AF4B24A97A99B07ECD6B92FD3C90473C9ED69A0ADAF64BA12D3F192B869AB07308AC649334500E86A2EB5E71D1C53FA5Z04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3777CA627AF4B24A97A99B07ECD6B92FD38934F379ED69A0ADAF64BA12D3F192B869CB4750AA131C9245447D3A7F5566DCFC521A50AB9ZA44K" TargetMode="External"/><Relationship Id="rId20" Type="http://schemas.openxmlformats.org/officeDocument/2006/relationships/hyperlink" Target="consultantplus://offline/ref=4CD3777CA627AF4B24A97A99B07ECD6B95F5319146349ED69A0ADAF64BA12D3F192B869CB47709A739C9245447D3A7F5566DCFC521A50AB9ZA44K" TargetMode="External"/><Relationship Id="rId29" Type="http://schemas.openxmlformats.org/officeDocument/2006/relationships/hyperlink" Target="consultantplus://offline/ref=4CD3777CA627AF4B24A97A99B07ECD6B95F5319146349ED69A0ADAF64BA12D3F192B869CB4770AA438C9245447D3A7F5566DCFC521A50AB9ZA44K" TargetMode="External"/><Relationship Id="rId41" Type="http://schemas.openxmlformats.org/officeDocument/2006/relationships/hyperlink" Target="consultantplus://offline/ref=4CD3777CA627AF4B24A97A99B07ECD6B95F5319146349ED69A0ADAF64BA12D3F192B869CB4770EA535C9245447D3A7F5566DCFC521A50AB9ZA44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777CA627AF4B24A97A99B07ECD6B95F93A9745309ED69A0ADAF64BA12D3F0B2BDE90B47F12A732DC720501Z844K" TargetMode="External"/><Relationship Id="rId11" Type="http://schemas.openxmlformats.org/officeDocument/2006/relationships/hyperlink" Target="consultantplus://offline/ref=4CD3777CA627AF4B24A97A99B07ECD6B94F53B9743339ED69A0ADAF64BA12D3F0B2BDE90B47F12A732DC720501Z844K" TargetMode="External"/><Relationship Id="rId24" Type="http://schemas.openxmlformats.org/officeDocument/2006/relationships/hyperlink" Target="consultantplus://offline/ref=4CD3777CA627AF4B24A97A99B07ECD6B95F5319146349ED69A0ADAF64BA12D3F192B869CB47709A233C9245447D3A7F5566DCFC521A50AB9ZA44K" TargetMode="External"/><Relationship Id="rId32" Type="http://schemas.openxmlformats.org/officeDocument/2006/relationships/hyperlink" Target="consultantplus://offline/ref=4CD3777CA627AF4B24A97A99B07ECD6B95F5319146349ED69A0ADAF64BA12D3F192B869CB4760EA632C9245447D3A7F5566DCFC521A50AB9ZA44K" TargetMode="External"/><Relationship Id="rId37" Type="http://schemas.openxmlformats.org/officeDocument/2006/relationships/hyperlink" Target="consultantplus://offline/ref=4CD3777CA627AF4B24A97A99B07ECD6B95F5319146349ED69A0ADAF64BA12D3F192B869CB47704A134C9245447D3A7F5566DCFC521A50AB9ZA44K" TargetMode="External"/><Relationship Id="rId40" Type="http://schemas.openxmlformats.org/officeDocument/2006/relationships/hyperlink" Target="consultantplus://offline/ref=4CD3777CA627AF4B24A97A99B07ECD6B95F5319146349ED69A0ADAF64BA12D3F192B869CB4760DAF37C9245447D3A7F5566DCFC521A50AB9ZA44K" TargetMode="External"/><Relationship Id="rId45" Type="http://schemas.openxmlformats.org/officeDocument/2006/relationships/hyperlink" Target="consultantplus://offline/ref=4CD3777CA627AF4B24A97A99B07ECD6B95F5319146349ED69A0ADAF64BA12D3F192B869CB47708A138C9245447D3A7F5566DCFC521A50AB9ZA44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CD3777CA627AF4B24A97A99B07ECD6B92FD38934F379ED69A0ADAF64BA12D3F192B869CB4750AA135C9245447D3A7F5566DCFC521A50AB9ZA44K" TargetMode="External"/><Relationship Id="rId15" Type="http://schemas.openxmlformats.org/officeDocument/2006/relationships/hyperlink" Target="consultantplus://offline/ref=4CD3777CA627AF4B24A97A99B07ECD6B95F5319146349ED69A0ADAF64BA12D3F0B2BDE90B47F12A732DC720501Z844K" TargetMode="External"/><Relationship Id="rId23" Type="http://schemas.openxmlformats.org/officeDocument/2006/relationships/hyperlink" Target="consultantplus://offline/ref=4CD3777CA627AF4B24A97A99B07ECD6B95F5319146349ED69A0ADAF64BA12D3F192B869CB4770EA535C9245447D3A7F5566DCFC521A50AB9ZA44K" TargetMode="External"/><Relationship Id="rId28" Type="http://schemas.openxmlformats.org/officeDocument/2006/relationships/hyperlink" Target="consultantplus://offline/ref=4CD3777CA627AF4B24A97A99B07ECD6B95F5319146349ED69A0ADAF64BA12D3F192B869CB4770AA436C9245447D3A7F5566DCFC521A50AB9ZA44K" TargetMode="External"/><Relationship Id="rId36" Type="http://schemas.openxmlformats.org/officeDocument/2006/relationships/hyperlink" Target="consultantplus://offline/ref=4CD3777CA627AF4B24A97A99B07ECD6B95F5319146349ED69A0ADAF64BA12D3F192B869CB47704A231C9245447D3A7F5566DCFC521A50AB9ZA44K" TargetMode="External"/><Relationship Id="rId49" Type="http://schemas.openxmlformats.org/officeDocument/2006/relationships/hyperlink" Target="consultantplus://offline/ref=4CD3777CA627AF4B24A97A99B07ECD6B92FD3C90473C9ED69A0ADAF64BA12D3F192B8695B37105AC649334500E86A2EB5E71D1C53FA5Z048K" TargetMode="External"/><Relationship Id="rId10" Type="http://schemas.openxmlformats.org/officeDocument/2006/relationships/hyperlink" Target="consultantplus://offline/ref=4CD3777CA627AF4B24A97A99B07ECD6B94FA3F9040379ED69A0ADAF64BA12D3F0B2BDE90B47F12A732DC720501Z844K" TargetMode="External"/><Relationship Id="rId19" Type="http://schemas.openxmlformats.org/officeDocument/2006/relationships/hyperlink" Target="consultantplus://offline/ref=4CD3777CA627AF4B24A97A99B07ECD6B95F5319146349ED69A0ADAF64BA12D3F0B2BDE90B47F12A732DC720501Z844K" TargetMode="External"/><Relationship Id="rId31" Type="http://schemas.openxmlformats.org/officeDocument/2006/relationships/hyperlink" Target="consultantplus://offline/ref=4CD3777CA627AF4B24A97A99B07ECD6B95F5319146349ED69A0ADAF64BA12D3F192B869CB47704A633C9245447D3A7F5566DCFC521A50AB9ZA44K" TargetMode="External"/><Relationship Id="rId44" Type="http://schemas.openxmlformats.org/officeDocument/2006/relationships/hyperlink" Target="consultantplus://offline/ref=4CD3777CA627AF4B24A97A99B07ECD6B95F5319146349ED69A0ADAF64BA12D3F192B869CB47708A533C9245447D3A7F5566DCFC521A50AB9ZA44K" TargetMode="External"/><Relationship Id="rId52" Type="http://schemas.openxmlformats.org/officeDocument/2006/relationships/hyperlink" Target="consultantplus://offline/ref=4CD3777CA627AF4B24A97A99B07ECD6B92FD3C9246319ED69A0ADAF64BA12D3F0B2BDE90B47F12A732DC720501Z84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3777CA627AF4B24A97A99B07ECD6B94FC3B9442319ED69A0ADAF64BA12D3F192B869CB4770CA630C9245447D3A7F5566DCFC521A50AB9ZA44K" TargetMode="External"/><Relationship Id="rId14" Type="http://schemas.openxmlformats.org/officeDocument/2006/relationships/hyperlink" Target="consultantplus://offline/ref=4CD3777CA627AF4B24A97A99B07ECD6B95F93A96423D9ED69A0ADAF64BA12D3F0B2BDE90B47F12A732DC720501Z844K" TargetMode="External"/><Relationship Id="rId22" Type="http://schemas.openxmlformats.org/officeDocument/2006/relationships/hyperlink" Target="consultantplus://offline/ref=4CD3777CA627AF4B24A97A99B07ECD6B95F5319146349ED69A0ADAF64BA12D3F192B869CB47709A337C9245447D3A7F5566DCFC521A50AB9ZA44K" TargetMode="External"/><Relationship Id="rId27" Type="http://schemas.openxmlformats.org/officeDocument/2006/relationships/hyperlink" Target="consultantplus://offline/ref=4CD3777CA627AF4B24A97A99B07ECD6B95F5319146349ED69A0ADAF64BA12D3F192B869CB4770AA434C9245447D3A7F5566DCFC521A50AB9ZA44K" TargetMode="External"/><Relationship Id="rId30" Type="http://schemas.openxmlformats.org/officeDocument/2006/relationships/hyperlink" Target="consultantplus://offline/ref=4CD3777CA627AF4B24A97A99B07ECD6B95F5319146349ED69A0ADAF64BA12D3F192B869CB4770AA435C9245447D3A7F5566DCFC521A50AB9ZA44K" TargetMode="External"/><Relationship Id="rId35" Type="http://schemas.openxmlformats.org/officeDocument/2006/relationships/hyperlink" Target="consultantplus://offline/ref=4CD3777CA627AF4B24A97A99B07ECD6B95F5319146349ED69A0ADAF64BA12D3F192B869CB4760DAF37C9245447D3A7F5566DCFC521A50AB9ZA44K" TargetMode="External"/><Relationship Id="rId43" Type="http://schemas.openxmlformats.org/officeDocument/2006/relationships/hyperlink" Target="consultantplus://offline/ref=4CD3777CA627AF4B24A97A99B07ECD6B95F5319146349ED69A0ADAF64BA12D3F192B869CB47705AF31C9245447D3A7F5566DCFC521A50AB9ZA44K" TargetMode="External"/><Relationship Id="rId48" Type="http://schemas.openxmlformats.org/officeDocument/2006/relationships/hyperlink" Target="consultantplus://offline/ref=4CD3777CA627AF4B24A97A99B07ECD6B92FD3C90473C9ED69A0ADAF64BA12D3F192B869AB0720CAC649334500E86A2EB5E71D1C53FA5Z048K" TargetMode="External"/><Relationship Id="rId8" Type="http://schemas.openxmlformats.org/officeDocument/2006/relationships/hyperlink" Target="consultantplus://offline/ref=4CD3777CA627AF4B24A97A99B07ECD6B94FD3F9145359ED69A0ADAF64BA12D3F0B2BDE90B47F12A732DC720501Z844K" TargetMode="External"/><Relationship Id="rId51" Type="http://schemas.openxmlformats.org/officeDocument/2006/relationships/hyperlink" Target="consultantplus://offline/ref=4CD3777CA627AF4B24A97A99B07ECD6B92FD3C90473C9ED69A0ADAF64BA12D3F192B8698B2710FAC649334500E86A2EB5E71D1C53FA5Z0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7080</Words>
  <Characters>40360</Characters>
  <Application>Microsoft Office Word</Application>
  <DocSecurity>0</DocSecurity>
  <Lines>336</Lines>
  <Paragraphs>94</Paragraphs>
  <ScaleCrop>false</ScaleCrop>
  <Company/>
  <LinksUpToDate>false</LinksUpToDate>
  <CharactersWithSpaces>47346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ekonom509</dc:creator>
  <cp:lastModifiedBy>ekonom509</cp:lastModifiedBy>
  <cp:revision>1</cp:revision>
  <dcterms:created xsi:type="dcterms:W3CDTF">2022-02-08T10:56:00Z</dcterms:created>
  <dcterms:modified xsi:type="dcterms:W3CDTF">2022-02-08T10:59:00Z</dcterms:modified>
</cp:coreProperties>
</file>