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95" w:rsidRPr="00992B95" w:rsidRDefault="00992B95" w:rsidP="00992B95">
      <w:pPr>
        <w:spacing w:after="188" w:line="271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3"/>
          <w:szCs w:val="23"/>
          <w:lang w:eastAsia="ru-RU"/>
        </w:rPr>
      </w:pPr>
      <w:r w:rsidRPr="00992B95">
        <w:rPr>
          <w:rFonts w:ascii="Times New Roman" w:eastAsia="Times New Roman" w:hAnsi="Times New Roman" w:cs="Times New Roman"/>
          <w:kern w:val="36"/>
          <w:sz w:val="23"/>
          <w:szCs w:val="23"/>
          <w:lang w:eastAsia="ru-RU"/>
        </w:rPr>
        <w:t>Рейтинг муниципальных образований Ульяновской области по выполнению указов Президента Российской Федерации от 07 мая 2012 года по итогам I квартала 2017 года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Областным государственным казённым учреждением «Научно-исследовательский институт изучения проблем региональной экономики»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подготовлен рейтинг муниципальных образований Ульяновской области </w:t>
      </w: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(далее – муниципальные образования, муниципалитеты)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по выполнению указов Президента Российской Федерации от 07 мая 2012 года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(далее – «майские указы»)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по итогам I квартала 2017 года</w:t>
      </w: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, на основании которого можно сделать следующие основные выводы.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1. Выполнение муниципальными образованиями Ульяновской области указов Президента Российской Федерации от 07 мая 2012 года следует охарактеризовать как в целом удовлетворительное.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По итогам I квартала 2017 года отмечен невысокий процент выполнения «майских указов». 100% выполнения нет ни в одном муниципальном образовании региона.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Это обусловлено тем, что многие показатели считаются нарастающим итогом на конец года.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Тройка лидеров по полноте исполнения «майских указов» выглядит следующим образом.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На первом месте – муниципальное образование «город Ульяновск» (82,2% исполнения показателей). </w:t>
      </w:r>
      <w:proofErr w:type="gram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Выполнены</w:t>
      </w:r>
      <w:proofErr w:type="gram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8 показателей из 13. По 5 наблюдается незначительное отставание от плановых значений: «заработная плата работников культуры», «прирост количества выставочных проектов», «доля детей, привлекаемых к участию в творческих мероприятиях», «снижение смертности от туберкулёза» и «объём ввода жилья по стандартам эконом-класса».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proofErr w:type="gram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На втором месте – муниципальное образование «город 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Новоульяновск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» (77,3% исполнения показателей), отставание от ежегодных плановых значений по 5 из 12 показателей: «заработная плата работников культуры», «доля детей, привлекаемых к участию в творческих мероприятиях»,  «снижение смертности от болезней системы кровообращения», «доля детей в возрасте от 5 до 18 лет, обучающихся по дополнительным образовательным программам» и «объём ввода жилья по стандартам эконом-класса».</w:t>
      </w:r>
      <w:proofErr w:type="gramEnd"/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proofErr w:type="gram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На третьем месте – муниципальное образование «город Димитровград» (72,3% исполнения показателей), отставание от ежегодных плановых значений по 9 из 13 показателей: «заработная плата работников культуры», «прирост количества выставочных проектов», «доля детей, привлекаемых к участию в творческих мероприятиях», «снижение смертности от болезней системы кровообращения», «снижение смертности от новообразований», «снижение смертности от туберкулёза», «снижение младенческой смертности», «доля детей, в возрасте от 5 до</w:t>
      </w:r>
      <w:proofErr w:type="gram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18 лет, обучающихся по дополнительным образовательным программам» и «объём ввода жилья по стандартам эконом-класса».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Также отмечу тройку аутсайдеров по полноте исполнения «майских указов».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На последнем, 24 месте, находится муниципальное образование 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Карсунский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на уровне 50,4%), в котором выполняется всего 2 показателя из 13.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На 23 месте муниципальное образование 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Вешкаймский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(53,6% исполнения показателей), где достигаются плановые значения только по 3 показателям из 12, по показателю «объём ввода жилья по стандартам эконом-класса» муниципалитет является худшим в регионе.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На 22 месте муниципальное образование 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Инзенский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(53,8% исполнения показателей), где достигаются в полной мере целевые значения по 3 показателям, по 8 показателям идет отставание от ежегодных плановых значений. По показателю «снижение смертности от новообразований» муниципалитет является худшим в области.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В остальных муниципальных образованиях выполнение «майских указов» варьируется в пределах от 56,5% (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Сенгилеевский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район) до 72% (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Кузоватовский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район).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Рисунок 1. Полнота исполнения «майских указов» в муниципальных образованиях Ульяновской области по итогам I квартала 2017 года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627880" cy="3856355"/>
            <wp:effectExtent l="19050" t="0" r="1270" b="0"/>
            <wp:docPr id="1" name="Рисунок 1" descr="https://ulgov.ru/pub/images/atts/page/201705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lgov.ru/pub/images/atts/page/20170505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lastRenderedPageBreak/>
        <w:t>2. В большинстве муниципальных образований Ульяновской области по итогам I квартала 2017 года отмечается отрицательная динамика исполнения «майских указов».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Отрицательная динамика исполнения выявлена в 18 муниципалитетах.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 xml:space="preserve">Это обусловлено тем, что в начале года муниципальные образования только начинают реализовывать запланированные мероприятия, </w:t>
      </w:r>
      <w:proofErr w:type="gramStart"/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результаты</w:t>
      </w:r>
      <w:proofErr w:type="gramEnd"/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 xml:space="preserve"> выполнения которых можно будет оценить не раньше ΙΙΙ квартала 2017 года.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В сравнении с I кварталом 2016 года отрицательная динамика наблюдалась в 23 муниципальных образованиях.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Таким образом, по итогам Ι квартала 2017 года положительная динамика отмечена в 6 муниципальных образованиях. В сравнении с I кварталом 2016 года положительная динамика была выявлена лишь в одном муниципальном образовании – 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Старокулаткинский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Значимую позитивную динамику показал Николаевский район 18,5 </w:t>
      </w:r>
      <w:proofErr w:type="gram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процентных</w:t>
      </w:r>
      <w:proofErr w:type="gram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пункта. 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Базарносызганский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 смог повысить уровень выполнения «майских указов» до 12,06 процентных пунктов. Павловский район – 9,40 </w:t>
      </w:r>
      <w:proofErr w:type="gram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процентных</w:t>
      </w:r>
      <w:proofErr w:type="gram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пункта. 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Кузоватовский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 – 7,21 </w:t>
      </w:r>
      <w:proofErr w:type="gram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процентных</w:t>
      </w:r>
      <w:proofErr w:type="gram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пункта. Незначительная положительная динамика в 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Чердаклинском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районе – 3,40 </w:t>
      </w:r>
      <w:proofErr w:type="gram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процентных</w:t>
      </w:r>
      <w:proofErr w:type="gram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пункта, в Радищевском районе – 2,12 процентных пункта.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Рисунок 2. Динамика исполнения «майских указов» в муниципальных образованиях Ульяновской области по итогам I квартала 2017 года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389120" cy="3896360"/>
            <wp:effectExtent l="19050" t="0" r="0" b="0"/>
            <wp:docPr id="2" name="Рисунок 2" descr="https://ulgov.ru/pub/images/atts/page/201705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lgov.ru/pub/images/atts/page/20170505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89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 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Таблица 1. Итоги оценки эффективности хода исполнения поручений, содержащихся в «майских указах», муниципальными образованиями Ульяновской области за I квартал 2017 года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6010910" cy="5709285"/>
            <wp:effectExtent l="19050" t="0" r="8890" b="0"/>
            <wp:docPr id="3" name="Рисунок 3" descr="https://ulgov.ru/pub/images/atts/page/2017050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lgov.ru/pub/images/atts/page/20170505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570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Рисунок 3. Итоги оценки эффективности хода исполнения поручений, содержащихся в «майских указах», муниципальными образованиями Ульяновской области в I квартале 2017 года (матричное представление)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noProof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8166100" cy="5057140"/>
            <wp:effectExtent l="19050" t="0" r="6350" b="0"/>
            <wp:docPr id="4" name="Рисунок 4" descr="https://ulgov.ru/pub/images/atts/page/2017050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lgov.ru/pub/images/atts/page/20170505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0" cy="50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 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Рисунок 4. Итоги оценки эффективности хода исполнения поручений, содержащихся в «майских указах», муниципальными образованиями Ульяновской области в I квартале 2017 года (графическое изображение территориального распределения групп муниципальных образований)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lastRenderedPageBreak/>
        <w:drawing>
          <wp:inline distT="0" distB="0" distL="0" distR="0">
            <wp:extent cx="4031615" cy="3864610"/>
            <wp:effectExtent l="19050" t="0" r="6985" b="0"/>
            <wp:docPr id="5" name="Рисунок 5" descr="https://ulgov.ru/pub/images/atts/page/2017050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lgov.ru/pub/images/atts/page/20170505-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 xml:space="preserve">3. Анализ </w:t>
      </w:r>
      <w:proofErr w:type="spellStart"/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вышепредставленной</w:t>
      </w:r>
      <w:proofErr w:type="spellEnd"/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 xml:space="preserve"> информации указывает на необходимость </w:t>
      </w:r>
      <w:proofErr w:type="gramStart"/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повышения эффективности работы муниципальных образований Ульяновской области</w:t>
      </w:r>
      <w:proofErr w:type="gramEnd"/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 xml:space="preserve"> по выполнению показателей, содержащихся в «майских указах».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Рассмотрение итогов реализации «майских указов» за I квартал 2017 года с точки зрения матричного анализа (рисунки 3 и 4) свидетельствует о недостаточно эффективной работе муниципальных образований.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Негативный характер сложившейся ситуации наглядно демонстрирует тот факт, что многие муниципальные образования Ульяновской области покинули Ι классификационную группу и переместились в ΙV. Всего 3 муниципальных образования относятся к Ι классификационной группе, основными характеристиками которой являются высокий уровень выполнения показателей «майских указов» (более 67%) и положительная динамика:</w:t>
      </w:r>
    </w:p>
    <w:p w:rsidR="00992B95" w:rsidRPr="00992B95" w:rsidRDefault="00992B95" w:rsidP="00992B95">
      <w:pPr>
        <w:numPr>
          <w:ilvl w:val="0"/>
          <w:numId w:val="1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proofErr w:type="gram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Кузоватовский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72,0%, динамика – «7,21» п.п.);</w:t>
      </w:r>
      <w:proofErr w:type="gramEnd"/>
    </w:p>
    <w:p w:rsidR="00992B95" w:rsidRPr="00992B95" w:rsidRDefault="00992B95" w:rsidP="00992B95">
      <w:pPr>
        <w:numPr>
          <w:ilvl w:val="0"/>
          <w:numId w:val="1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«Радищевский район» (исполнение – 69,1%, динамика – «2,12» п.п.);</w:t>
      </w:r>
    </w:p>
    <w:p w:rsidR="00992B95" w:rsidRPr="00992B95" w:rsidRDefault="00992B95" w:rsidP="00992B95">
      <w:pPr>
        <w:numPr>
          <w:ilvl w:val="0"/>
          <w:numId w:val="1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Чердаклинский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70,5%, динамика – «3,40» п.п.).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proofErr w:type="gramStart"/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Во</w:t>
      </w:r>
      <w:proofErr w:type="gramEnd"/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 xml:space="preserve"> ΙΙ классификационной группе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с высоким уровнем выполнения показателей и отрицательной динамикой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представлены 7 муниципальных образований</w:t>
      </w: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:</w:t>
      </w:r>
    </w:p>
    <w:p w:rsidR="00992B95" w:rsidRPr="00992B95" w:rsidRDefault="00992B95" w:rsidP="00992B95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«город 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Новоульяновск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» (исполнение – 77,3%, динамика – «- 3,44» п.п.);</w:t>
      </w:r>
    </w:p>
    <w:p w:rsidR="00992B95" w:rsidRPr="00992B95" w:rsidRDefault="00992B95" w:rsidP="00992B95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«город Димитровград» (исполнение – 72,3%, динамика – «- 5,48» п.п.);</w:t>
      </w:r>
    </w:p>
    <w:p w:rsidR="00992B95" w:rsidRPr="00992B95" w:rsidRDefault="00992B95" w:rsidP="00992B95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«город Ульяновск» (исполнение – 82,2%, динамика – «- 4,30» п.п.);</w:t>
      </w:r>
    </w:p>
    <w:p w:rsidR="00992B95" w:rsidRPr="00992B95" w:rsidRDefault="00992B95" w:rsidP="00992B95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«Мелекесский район» (исполнение – 70,6%, динамика – «- 2,91» п.п.);</w:t>
      </w:r>
    </w:p>
    <w:p w:rsidR="00992B95" w:rsidRPr="00992B95" w:rsidRDefault="00992B95" w:rsidP="00992B95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Барышский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71,3%, динамика – «- 5,36» п.п.);</w:t>
      </w:r>
    </w:p>
    <w:p w:rsidR="00992B95" w:rsidRPr="00992B95" w:rsidRDefault="00992B95" w:rsidP="00992B95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Тереньгульский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67,4%, динамика – «- 2,32» п.п.);</w:t>
      </w:r>
    </w:p>
    <w:p w:rsidR="00992B95" w:rsidRPr="00992B95" w:rsidRDefault="00992B95" w:rsidP="00992B95">
      <w:pPr>
        <w:numPr>
          <w:ilvl w:val="0"/>
          <w:numId w:val="2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«Ульяновский район» (исполнение – 68,7%, динамика – «- 12,52» п.п.).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proofErr w:type="gramStart"/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В ΙΙΙ классификационной группе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с уровнем выполнения показателей «майских указов» менее 67% и положительной динамикой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представлены 3 муниципальных образования</w:t>
      </w: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:</w:t>
      </w:r>
      <w:proofErr w:type="gramEnd"/>
    </w:p>
    <w:p w:rsidR="00992B95" w:rsidRPr="00992B95" w:rsidRDefault="00992B95" w:rsidP="00992B95">
      <w:pPr>
        <w:numPr>
          <w:ilvl w:val="0"/>
          <w:numId w:val="3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Базарносызганский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65,9%, динамика – «12,06» п.п.);</w:t>
      </w:r>
    </w:p>
    <w:p w:rsidR="00992B95" w:rsidRPr="00992B95" w:rsidRDefault="00992B95" w:rsidP="00992B95">
      <w:pPr>
        <w:numPr>
          <w:ilvl w:val="0"/>
          <w:numId w:val="3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«Николаевский район» (исполнение – 64,7%, динамика – «18,46» п.п.);</w:t>
      </w:r>
    </w:p>
    <w:p w:rsidR="00992B95" w:rsidRPr="00992B95" w:rsidRDefault="00992B95" w:rsidP="00992B95">
      <w:pPr>
        <w:numPr>
          <w:ilvl w:val="0"/>
          <w:numId w:val="3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«Павловский район» (исполнение – 58,7%, динамика – «9,40» п.п.).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К</w:t>
      </w:r>
      <w:r w:rsidRPr="00992B95">
        <w:rPr>
          <w:rFonts w:ascii="Times New Roman" w:eastAsia="Times New Roman" w:hAnsi="Times New Roman" w:cs="Times New Roman"/>
          <w:sz w:val="15"/>
          <w:u w:val="single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IV</w:t>
      </w:r>
      <w:r w:rsidRPr="00992B95">
        <w:rPr>
          <w:rFonts w:ascii="Times New Roman" w:eastAsia="Times New Roman" w:hAnsi="Times New Roman" w:cs="Times New Roman"/>
          <w:sz w:val="15"/>
          <w:u w:val="single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классификационной группе,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основными характеристиками которой являются низкий уровень выполнения показателей «майских указов» (менее 67%) и отрицательная динамика,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u w:val="single"/>
          <w:bdr w:val="none" w:sz="0" w:space="0" w:color="auto" w:frame="1"/>
          <w:lang w:eastAsia="ru-RU"/>
        </w:rPr>
        <w:t>относятся 11 муниципальных образований</w:t>
      </w: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:</w:t>
      </w:r>
    </w:p>
    <w:p w:rsidR="00992B95" w:rsidRPr="00992B95" w:rsidRDefault="00992B95" w:rsidP="00992B9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Цильнинский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66,3%, динамика – «- 3,65» п.п.);</w:t>
      </w:r>
    </w:p>
    <w:p w:rsidR="00992B95" w:rsidRPr="00992B95" w:rsidRDefault="00992B95" w:rsidP="00992B9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Новомалыклинский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61,5%, динамика – «- 4,19» п.п.);</w:t>
      </w:r>
    </w:p>
    <w:p w:rsidR="00992B95" w:rsidRPr="00992B95" w:rsidRDefault="00992B95" w:rsidP="00992B9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Майнский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61,8%, динамика – «- 5,60» п.п.);</w:t>
      </w:r>
    </w:p>
    <w:p w:rsidR="00992B95" w:rsidRPr="00992B95" w:rsidRDefault="00992B95" w:rsidP="00992B9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Сурский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59,0%, динамика – «- 4,04» п.п.);</w:t>
      </w:r>
    </w:p>
    <w:p w:rsidR="00992B95" w:rsidRPr="00992B95" w:rsidRDefault="00992B95" w:rsidP="00992B9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«Новоспасский район» (исполнение – 61,8%, динамика – «- 10,70» п.п.);</w:t>
      </w:r>
    </w:p>
    <w:p w:rsidR="00992B95" w:rsidRPr="00992B95" w:rsidRDefault="00992B95" w:rsidP="00992B9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Старомайнский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60,4%, динамика – «- 11,70» п.п.);</w:t>
      </w:r>
    </w:p>
    <w:p w:rsidR="00992B95" w:rsidRPr="00992B95" w:rsidRDefault="00992B95" w:rsidP="00992B9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Старокулаткинский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57,5%, динамика – «- 10,50» п.п.);</w:t>
      </w:r>
    </w:p>
    <w:p w:rsidR="00992B95" w:rsidRPr="00992B95" w:rsidRDefault="00992B95" w:rsidP="00992B9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Карсунский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50,4%, динамика – «- 1,08» п.п.);</w:t>
      </w:r>
    </w:p>
    <w:p w:rsidR="00992B95" w:rsidRPr="00992B95" w:rsidRDefault="00992B95" w:rsidP="00992B9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lastRenderedPageBreak/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Инзенский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53,8%, динамика – «- 8,82» п.п.);</w:t>
      </w:r>
    </w:p>
    <w:p w:rsidR="00992B95" w:rsidRPr="00992B95" w:rsidRDefault="00992B95" w:rsidP="00992B9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Вешкаймский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53,6%, динамика – «- 12,96» п.п.);</w:t>
      </w:r>
    </w:p>
    <w:p w:rsidR="00992B95" w:rsidRPr="00992B95" w:rsidRDefault="00992B95" w:rsidP="00992B95">
      <w:pPr>
        <w:numPr>
          <w:ilvl w:val="0"/>
          <w:numId w:val="4"/>
        </w:numPr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«</w:t>
      </w:r>
      <w:proofErr w:type="spellStart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Сенгилеевский</w:t>
      </w:r>
      <w:proofErr w:type="spellEnd"/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район» (исполнение – 56,5%, динамика – «- 17,41» п.п.).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992B95" w:rsidRPr="00992B95" w:rsidRDefault="00992B95" w:rsidP="00992B95">
      <w:pPr>
        <w:spacing w:after="0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b/>
          <w:bCs/>
          <w:sz w:val="15"/>
          <w:lang w:eastAsia="ru-RU"/>
        </w:rPr>
        <w:t>Таким образом, по итогам I квартала 2017 года в части реализации «майских указов» большинство муниципальных образований Ульяновской области демонстрируют средний уровень исполнения показателей и отрицательную динамику.</w:t>
      </w:r>
      <w:r w:rsidRPr="00992B95">
        <w:rPr>
          <w:rFonts w:ascii="Times New Roman" w:eastAsia="Times New Roman" w:hAnsi="Times New Roman" w:cs="Times New Roman"/>
          <w:sz w:val="15"/>
          <w:lang w:eastAsia="ru-RU"/>
        </w:rPr>
        <w:t> </w:t>
      </w: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В целях дальнейшего обеспечения последовательного достижения целевых значений всем муниципалитетам необходимо проанализировать негативные тенденции, возникающие по обыкновению в начале отчетного периода, сосредоточится на обеспечении последовательного поквартального достижения ежегодных целевых значений показателей, и продолжить работу с обязательным нарастанием темпов, как по уровню выполнения показателей, так и по динамике.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tbl>
      <w:tblPr>
        <w:tblW w:w="9645" w:type="dxa"/>
        <w:tblBorders>
          <w:top w:val="single" w:sz="4" w:space="0" w:color="08456C"/>
          <w:left w:val="single" w:sz="4" w:space="0" w:color="08456C"/>
          <w:bottom w:val="single" w:sz="4" w:space="0" w:color="08456C"/>
          <w:right w:val="single" w:sz="4" w:space="0" w:color="08456C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480"/>
        <w:gridCol w:w="7320"/>
      </w:tblGrid>
      <w:tr w:rsidR="00992B95" w:rsidRPr="00992B95" w:rsidTr="00992B95">
        <w:tc>
          <w:tcPr>
            <w:tcW w:w="1845" w:type="dxa"/>
            <w:tcBorders>
              <w:top w:val="single" w:sz="4" w:space="0" w:color="08456C"/>
              <w:left w:val="single" w:sz="4" w:space="0" w:color="08456C"/>
              <w:bottom w:val="single" w:sz="4" w:space="0" w:color="08456C"/>
              <w:right w:val="single" w:sz="4" w:space="0" w:color="08456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92B95" w:rsidRPr="00992B95" w:rsidRDefault="00992B95" w:rsidP="00992B95">
            <w:pPr>
              <w:spacing w:after="188" w:line="180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2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Приложение:</w:t>
            </w:r>
          </w:p>
        </w:tc>
        <w:tc>
          <w:tcPr>
            <w:tcW w:w="480" w:type="dxa"/>
            <w:tcBorders>
              <w:top w:val="single" w:sz="4" w:space="0" w:color="08456C"/>
              <w:left w:val="single" w:sz="4" w:space="0" w:color="08456C"/>
              <w:bottom w:val="single" w:sz="4" w:space="0" w:color="08456C"/>
              <w:right w:val="single" w:sz="4" w:space="0" w:color="08456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92B95" w:rsidRPr="00992B95" w:rsidRDefault="00992B95" w:rsidP="00992B95">
            <w:pPr>
              <w:spacing w:after="188" w:line="180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2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7320" w:type="dxa"/>
            <w:tcBorders>
              <w:top w:val="single" w:sz="4" w:space="0" w:color="08456C"/>
              <w:left w:val="single" w:sz="4" w:space="0" w:color="08456C"/>
              <w:bottom w:val="single" w:sz="4" w:space="0" w:color="08456C"/>
              <w:right w:val="single" w:sz="4" w:space="0" w:color="08456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92B95" w:rsidRPr="00992B95" w:rsidRDefault="00992B95" w:rsidP="00992B9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hyperlink r:id="rId10" w:history="1">
              <w:r w:rsidRPr="00992B95">
                <w:rPr>
                  <w:rFonts w:ascii="Times New Roman" w:eastAsia="Times New Roman" w:hAnsi="Times New Roman" w:cs="Times New Roman"/>
                  <w:color w:val="0B5996"/>
                  <w:sz w:val="15"/>
                  <w:u w:val="single"/>
                  <w:lang w:eastAsia="ru-RU"/>
                </w:rPr>
                <w:t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образованиями Ульяновской области</w:t>
              </w:r>
            </w:hyperlink>
            <w:r w:rsidRPr="00992B95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992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2 л. в 1 экз.</w:t>
            </w:r>
          </w:p>
        </w:tc>
      </w:tr>
      <w:tr w:rsidR="00992B95" w:rsidRPr="00992B95" w:rsidTr="00992B95">
        <w:tc>
          <w:tcPr>
            <w:tcW w:w="1845" w:type="dxa"/>
            <w:tcBorders>
              <w:top w:val="single" w:sz="4" w:space="0" w:color="08456C"/>
              <w:left w:val="single" w:sz="4" w:space="0" w:color="08456C"/>
              <w:bottom w:val="single" w:sz="4" w:space="0" w:color="08456C"/>
              <w:right w:val="single" w:sz="4" w:space="0" w:color="08456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92B95" w:rsidRPr="00992B95" w:rsidRDefault="00992B95" w:rsidP="00992B95">
            <w:pPr>
              <w:spacing w:after="188" w:line="180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2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8456C"/>
              <w:left w:val="single" w:sz="4" w:space="0" w:color="08456C"/>
              <w:bottom w:val="single" w:sz="4" w:space="0" w:color="08456C"/>
              <w:right w:val="single" w:sz="4" w:space="0" w:color="08456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92B95" w:rsidRPr="00992B95" w:rsidRDefault="00992B95" w:rsidP="00992B95">
            <w:pPr>
              <w:spacing w:after="188" w:line="180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2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7320" w:type="dxa"/>
            <w:tcBorders>
              <w:top w:val="single" w:sz="4" w:space="0" w:color="08456C"/>
              <w:left w:val="single" w:sz="4" w:space="0" w:color="08456C"/>
              <w:bottom w:val="single" w:sz="4" w:space="0" w:color="08456C"/>
              <w:right w:val="single" w:sz="4" w:space="0" w:color="08456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92B95" w:rsidRPr="00992B95" w:rsidRDefault="00992B95" w:rsidP="00992B95">
            <w:pPr>
              <w:spacing w:after="0" w:line="180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hyperlink r:id="rId11" w:history="1">
              <w:r w:rsidRPr="00992B95">
                <w:rPr>
                  <w:rFonts w:ascii="Times New Roman" w:eastAsia="Times New Roman" w:hAnsi="Times New Roman" w:cs="Times New Roman"/>
                  <w:color w:val="0B5996"/>
                  <w:sz w:val="15"/>
                  <w:u w:val="single"/>
                  <w:lang w:eastAsia="ru-RU"/>
                </w:rPr>
        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        </w:r>
            </w:hyperlink>
            <w:r w:rsidRPr="00992B95">
              <w:rPr>
                <w:rFonts w:ascii="Times New Roman" w:eastAsia="Times New Roman" w:hAnsi="Times New Roman" w:cs="Times New Roman"/>
                <w:sz w:val="15"/>
                <w:lang w:eastAsia="ru-RU"/>
              </w:rPr>
              <w:t> </w:t>
            </w:r>
            <w:r w:rsidRPr="00992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 2 л. в 1 экз.</w:t>
            </w:r>
          </w:p>
        </w:tc>
      </w:tr>
    </w:tbl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p w:rsidR="00992B95" w:rsidRPr="00992B95" w:rsidRDefault="00992B95" w:rsidP="00992B95">
      <w:pPr>
        <w:spacing w:after="188" w:line="180" w:lineRule="atLeast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992B95">
        <w:rPr>
          <w:rFonts w:ascii="Times New Roman" w:eastAsia="Times New Roman" w:hAnsi="Times New Roman" w:cs="Times New Roman"/>
          <w:sz w:val="15"/>
          <w:szCs w:val="15"/>
          <w:lang w:eastAsia="ru-RU"/>
        </w:rPr>
        <w:t> </w:t>
      </w:r>
    </w:p>
    <w:tbl>
      <w:tblPr>
        <w:tblW w:w="0" w:type="auto"/>
        <w:tblBorders>
          <w:top w:val="single" w:sz="4" w:space="0" w:color="08456C"/>
          <w:left w:val="single" w:sz="4" w:space="0" w:color="08456C"/>
          <w:bottom w:val="single" w:sz="4" w:space="0" w:color="08456C"/>
          <w:right w:val="single" w:sz="4" w:space="0" w:color="08456C"/>
        </w:tblBorders>
        <w:tblCellMar>
          <w:left w:w="0" w:type="dxa"/>
          <w:right w:w="0" w:type="dxa"/>
        </w:tblCellMar>
        <w:tblLook w:val="04A0"/>
      </w:tblPr>
      <w:tblGrid>
        <w:gridCol w:w="4746"/>
        <w:gridCol w:w="4735"/>
      </w:tblGrid>
      <w:tr w:rsidR="00992B95" w:rsidRPr="00992B95" w:rsidTr="00992B95">
        <w:tc>
          <w:tcPr>
            <w:tcW w:w="4920" w:type="dxa"/>
            <w:tcBorders>
              <w:top w:val="single" w:sz="4" w:space="0" w:color="08456C"/>
              <w:left w:val="single" w:sz="4" w:space="0" w:color="08456C"/>
              <w:bottom w:val="single" w:sz="4" w:space="0" w:color="08456C"/>
              <w:right w:val="single" w:sz="4" w:space="0" w:color="08456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92B95" w:rsidRPr="00992B95" w:rsidRDefault="00992B95" w:rsidP="00992B95">
            <w:pPr>
              <w:spacing w:after="188" w:line="180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2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Заместитель Председателя</w:t>
            </w:r>
          </w:p>
          <w:p w:rsidR="00992B95" w:rsidRPr="00992B95" w:rsidRDefault="00992B95" w:rsidP="00992B95">
            <w:pPr>
              <w:spacing w:after="188" w:line="180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2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Правительства Ульяновской области</w:t>
            </w:r>
          </w:p>
        </w:tc>
        <w:tc>
          <w:tcPr>
            <w:tcW w:w="4920" w:type="dxa"/>
            <w:tcBorders>
              <w:top w:val="single" w:sz="4" w:space="0" w:color="08456C"/>
              <w:left w:val="single" w:sz="4" w:space="0" w:color="08456C"/>
              <w:bottom w:val="single" w:sz="4" w:space="0" w:color="08456C"/>
              <w:right w:val="single" w:sz="4" w:space="0" w:color="08456C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92B95" w:rsidRPr="00992B95" w:rsidRDefault="00992B95" w:rsidP="00992B95">
            <w:pPr>
              <w:spacing w:after="188" w:line="180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92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  <w:p w:rsidR="00992B95" w:rsidRPr="00992B95" w:rsidRDefault="00992B95" w:rsidP="00992B95">
            <w:pPr>
              <w:spacing w:after="188" w:line="180" w:lineRule="atLeast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992B9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О.В.Асмус</w:t>
            </w:r>
            <w:proofErr w:type="spellEnd"/>
          </w:p>
        </w:tc>
      </w:tr>
    </w:tbl>
    <w:p w:rsidR="00992B95" w:rsidRPr="00992B95" w:rsidRDefault="00992B95" w:rsidP="00992B95">
      <w:pPr>
        <w:spacing w:after="188" w:line="240" w:lineRule="auto"/>
        <w:jc w:val="right"/>
        <w:textAlignment w:val="baseline"/>
        <w:rPr>
          <w:rFonts w:ascii="Arial" w:eastAsia="Times New Roman" w:hAnsi="Arial" w:cs="Arial"/>
          <w:color w:val="949494"/>
          <w:sz w:val="14"/>
          <w:szCs w:val="14"/>
          <w:lang w:eastAsia="ru-RU"/>
        </w:rPr>
      </w:pPr>
      <w:r w:rsidRPr="00992B95">
        <w:rPr>
          <w:rFonts w:ascii="Arial" w:eastAsia="Times New Roman" w:hAnsi="Arial" w:cs="Arial"/>
          <w:color w:val="949494"/>
          <w:sz w:val="14"/>
          <w:szCs w:val="14"/>
          <w:lang w:eastAsia="ru-RU"/>
        </w:rPr>
        <w:t>Добавлено: 5 мая 2017 года, 16:47</w:t>
      </w:r>
    </w:p>
    <w:p w:rsidR="00CD2AB3" w:rsidRDefault="00CD2AB3"/>
    <w:sectPr w:rsidR="00CD2AB3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1E1"/>
    <w:multiLevelType w:val="multilevel"/>
    <w:tmpl w:val="C3C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03942"/>
    <w:multiLevelType w:val="multilevel"/>
    <w:tmpl w:val="C724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43248"/>
    <w:multiLevelType w:val="multilevel"/>
    <w:tmpl w:val="589E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A316E"/>
    <w:multiLevelType w:val="multilevel"/>
    <w:tmpl w:val="2C56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B95"/>
    <w:rsid w:val="004D4B19"/>
    <w:rsid w:val="00992B95"/>
    <w:rsid w:val="00C95AFF"/>
    <w:rsid w:val="00CD2AB3"/>
    <w:rsid w:val="00F4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B3"/>
  </w:style>
  <w:style w:type="paragraph" w:styleId="1">
    <w:name w:val="heading 1"/>
    <w:basedOn w:val="a"/>
    <w:link w:val="10"/>
    <w:uiPriority w:val="9"/>
    <w:qFormat/>
    <w:rsid w:val="00992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B95"/>
  </w:style>
  <w:style w:type="character" w:styleId="a4">
    <w:name w:val="Strong"/>
    <w:basedOn w:val="a0"/>
    <w:uiPriority w:val="22"/>
    <w:qFormat/>
    <w:rsid w:val="00992B95"/>
    <w:rPr>
      <w:b/>
      <w:bCs/>
    </w:rPr>
  </w:style>
  <w:style w:type="character" w:styleId="a5">
    <w:name w:val="Hyperlink"/>
    <w:basedOn w:val="a0"/>
    <w:uiPriority w:val="99"/>
    <w:semiHidden/>
    <w:unhideWhenUsed/>
    <w:rsid w:val="00992B95"/>
    <w:rPr>
      <w:color w:val="0000FF"/>
      <w:u w:val="single"/>
    </w:rPr>
  </w:style>
  <w:style w:type="paragraph" w:customStyle="1" w:styleId="added">
    <w:name w:val="added"/>
    <w:basedOn w:val="a"/>
    <w:rsid w:val="0099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571">
          <w:marLeft w:val="0"/>
          <w:marRight w:val="0"/>
          <w:marTop w:val="3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lgov.ru/pub/atts/page/2017-3-mes-pril2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ulgov.ru/pub/atts/page/2017-3-mes-pril1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ЛюдмилаАлександровна</cp:lastModifiedBy>
  <cp:revision>1</cp:revision>
  <dcterms:created xsi:type="dcterms:W3CDTF">2017-05-10T06:42:00Z</dcterms:created>
  <dcterms:modified xsi:type="dcterms:W3CDTF">2017-05-10T06:44:00Z</dcterms:modified>
</cp:coreProperties>
</file>