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6" w:rsidRPr="00507379" w:rsidRDefault="005364F6" w:rsidP="00AA0314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i/>
        </w:rPr>
      </w:pPr>
      <w:r w:rsidRPr="00507379">
        <w:rPr>
          <w:rFonts w:ascii="PT Astra Serif" w:hAnsi="PT Astra Serif"/>
          <w:b/>
          <w:bCs/>
          <w:i/>
        </w:rPr>
        <w:t>Тезисы О.В.Асмуса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  <w:u w:val="single"/>
        </w:rPr>
      </w:pPr>
      <w:r w:rsidRPr="00507379">
        <w:rPr>
          <w:rFonts w:ascii="PT Astra Serif" w:hAnsi="PT Astra Serif"/>
          <w:b/>
          <w:bCs/>
          <w:u w:val="single"/>
        </w:rPr>
        <w:t>По вопросу: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  <w:r w:rsidRPr="00507379">
        <w:rPr>
          <w:rFonts w:ascii="PT Astra Serif" w:hAnsi="PT Astra Serif"/>
          <w:b/>
          <w:bCs/>
        </w:rPr>
        <w:t xml:space="preserve">Об итогах рейтинга социально-экономического развития муниципальных 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</w:rPr>
      </w:pPr>
      <w:r w:rsidRPr="00507379">
        <w:rPr>
          <w:rFonts w:ascii="PT Astra Serif" w:hAnsi="PT Astra Serif"/>
          <w:b/>
          <w:bCs/>
        </w:rPr>
        <w:t xml:space="preserve">образований Ульяновской области за </w:t>
      </w:r>
      <w:r w:rsidR="00DF5409" w:rsidRPr="00507379">
        <w:rPr>
          <w:rFonts w:ascii="PT Astra Serif" w:hAnsi="PT Astra Serif"/>
          <w:b/>
          <w:bCs/>
        </w:rPr>
        <w:t>январь-</w:t>
      </w:r>
      <w:r w:rsidR="00D64FF2">
        <w:rPr>
          <w:rFonts w:ascii="PT Astra Serif" w:hAnsi="PT Astra Serif"/>
          <w:b/>
          <w:bCs/>
        </w:rPr>
        <w:t xml:space="preserve">октябрь </w:t>
      </w:r>
      <w:r w:rsidRPr="00507379">
        <w:rPr>
          <w:rFonts w:ascii="PT Astra Serif" w:hAnsi="PT Astra Serif"/>
          <w:b/>
          <w:bCs/>
        </w:rPr>
        <w:t>2019 года</w:t>
      </w:r>
    </w:p>
    <w:p w:rsidR="005364F6" w:rsidRPr="00507379" w:rsidRDefault="005364F6" w:rsidP="00AA03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D64FF2" w:rsidRDefault="00D64FF2" w:rsidP="00D64FF2">
      <w:pPr>
        <w:spacing w:line="312" w:lineRule="auto"/>
        <w:ind w:right="-108" w:firstLine="709"/>
        <w:jc w:val="both"/>
        <w:rPr>
          <w:rFonts w:ascii="PT Astra Serif" w:hAnsi="PT Astra Serif"/>
          <w:spacing w:val="-2"/>
          <w:u w:val="single"/>
        </w:rPr>
      </w:pPr>
      <w:r>
        <w:rPr>
          <w:rFonts w:ascii="PT Astra Serif" w:hAnsi="PT Astra Serif"/>
          <w:spacing w:val="-2"/>
        </w:rPr>
        <w:t xml:space="preserve">АНО «ЦСИ Ульяновской области» сформирован рейтинг социально-экономического развития муниципальных образований Ульяновской области </w:t>
      </w:r>
      <w:r>
        <w:rPr>
          <w:rFonts w:ascii="PT Astra Serif" w:hAnsi="PT Astra Serif"/>
          <w:b/>
          <w:spacing w:val="-2"/>
          <w:u w:val="single"/>
        </w:rPr>
        <w:t>за январь-октябрь 2019 года</w:t>
      </w:r>
      <w:r>
        <w:rPr>
          <w:rFonts w:ascii="PT Astra Serif" w:hAnsi="PT Astra Serif"/>
          <w:spacing w:val="-2"/>
        </w:rPr>
        <w:t xml:space="preserve"> (далее – рейтинг) по 27 показателям для городских округов и 31 показателю для муниципальных районов (прилагается). </w:t>
      </w:r>
      <w:r>
        <w:rPr>
          <w:rFonts w:ascii="PT Astra Serif" w:hAnsi="PT Astra Serif"/>
          <w:b/>
          <w:spacing w:val="-2"/>
        </w:rPr>
        <w:t xml:space="preserve">Рейтинг текущего периода рассчитан </w:t>
      </w:r>
      <w:r>
        <w:rPr>
          <w:rFonts w:ascii="PT Astra Serif" w:hAnsi="PT Astra Serif"/>
          <w:b/>
          <w:spacing w:val="-2"/>
          <w:u w:val="single"/>
        </w:rPr>
        <w:t>с учётом показателей инвестиционной деятельности.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Итоги рейтинга</w:t>
      </w:r>
      <w:r>
        <w:rPr>
          <w:rFonts w:ascii="PT Astra Serif" w:hAnsi="PT Astra Serif"/>
          <w:b/>
        </w:rPr>
        <w:t xml:space="preserve"> в сравнении с аналогичным периодом 2018 года выглядят следующим образом</w:t>
      </w:r>
      <w:r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D64FF2" w:rsidTr="00D64FF2">
        <w:trPr>
          <w:trHeight w:val="736"/>
          <w:tblHeader/>
        </w:trPr>
        <w:tc>
          <w:tcPr>
            <w:tcW w:w="781" w:type="pct"/>
            <w:noWrap/>
            <w:vAlign w:val="center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vAlign w:val="center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vAlign w:val="center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vAlign w:val="center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к аналогичному</w:t>
            </w:r>
          </w:p>
          <w:p w:rsidR="00D64FF2" w:rsidRDefault="00D64FF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</w:tc>
      </w:tr>
      <w:tr w:rsidR="00D64FF2" w:rsidTr="00D64FF2">
        <w:trPr>
          <w:trHeight w:val="290"/>
        </w:trPr>
        <w:tc>
          <w:tcPr>
            <w:tcW w:w="5000" w:type="pct"/>
            <w:gridSpan w:val="4"/>
            <w:noWrap/>
            <w:vAlign w:val="bottom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24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Павловский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33,3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4 </w:t>
            </w:r>
            <w:r>
              <w:rPr>
                <w:rFonts w:ascii="PT Astra Serif" w:hAnsi="PT Astra Serif"/>
              </w:rPr>
              <w:t>позиции</w:t>
            </w:r>
          </w:p>
        </w:tc>
      </w:tr>
      <w:tr w:rsidR="00D64FF2" w:rsidTr="00D64FF2">
        <w:trPr>
          <w:trHeight w:val="86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23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Барышский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41,4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5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22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Радищевский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42,4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6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21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Базарносызганский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44,3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4 </w:t>
            </w:r>
            <w:r>
              <w:rPr>
                <w:rFonts w:ascii="PT Astra Serif" w:hAnsi="PT Astra Serif"/>
              </w:rPr>
              <w:t>позиции</w:t>
            </w:r>
          </w:p>
        </w:tc>
      </w:tr>
      <w:tr w:rsidR="00D64FF2" w:rsidTr="00D64FF2">
        <w:trPr>
          <w:trHeight w:val="350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20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г. Новоульяновск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44,5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8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350"/>
        </w:trPr>
        <w:tc>
          <w:tcPr>
            <w:tcW w:w="5000" w:type="pct"/>
            <w:gridSpan w:val="4"/>
            <w:vAlign w:val="center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19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Сенгилеевский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45,1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7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18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Старокулаткинский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46,2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+ 6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17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Цильнинский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46,6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10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16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Карсунский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48,0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2 </w:t>
            </w:r>
            <w:r>
              <w:rPr>
                <w:rFonts w:ascii="PT Astra Serif" w:hAnsi="PT Astra Serif"/>
              </w:rPr>
              <w:t>позиции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hideMark/>
          </w:tcPr>
          <w:p w:rsidR="00D64FF2" w:rsidRDefault="00D64FF2">
            <w:pPr>
              <w:jc w:val="center"/>
            </w:pPr>
            <w:r>
              <w:t>15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Старомайнский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48,1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5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Merge w:val="restart"/>
            <w:vAlign w:val="center"/>
            <w:hideMark/>
          </w:tcPr>
          <w:p w:rsidR="00D64FF2" w:rsidRDefault="00D64FF2">
            <w:pPr>
              <w:jc w:val="center"/>
            </w:pPr>
            <w:r>
              <w:t>13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Вешкаймский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49,4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+ 9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0" w:type="auto"/>
            <w:vMerge/>
            <w:vAlign w:val="center"/>
            <w:hideMark/>
          </w:tcPr>
          <w:p w:rsidR="00D64FF2" w:rsidRDefault="00D64FF2"/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Тереньгульский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49,4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+ 10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12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Сурский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49,7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+ 9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72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11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г. Димитровград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49,9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5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10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Майнский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52,6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+ 9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9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Николаевский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54,9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5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8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Кузоватовский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55,0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+ 1 </w:t>
            </w:r>
            <w:r>
              <w:rPr>
                <w:rFonts w:ascii="PT Astra Serif" w:hAnsi="PT Astra Serif"/>
              </w:rPr>
              <w:t>позиция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7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Инзенский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56,0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+ 8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290"/>
        </w:trPr>
        <w:tc>
          <w:tcPr>
            <w:tcW w:w="5000" w:type="pct"/>
            <w:gridSpan w:val="4"/>
            <w:noWrap/>
            <w:vAlign w:val="bottom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Merge w:val="restart"/>
            <w:vAlign w:val="center"/>
            <w:hideMark/>
          </w:tcPr>
          <w:p w:rsidR="00D64FF2" w:rsidRDefault="00D64FF2">
            <w:pPr>
              <w:jc w:val="center"/>
            </w:pPr>
            <w:r>
              <w:t>5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г. Ульяновск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57,5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минус 4 </w:t>
            </w:r>
            <w:r>
              <w:rPr>
                <w:rFonts w:ascii="PT Astra Serif" w:hAnsi="PT Astra Serif"/>
              </w:rPr>
              <w:t>позиции</w:t>
            </w:r>
          </w:p>
        </w:tc>
      </w:tr>
      <w:tr w:rsidR="00D64FF2" w:rsidTr="00D64FF2">
        <w:trPr>
          <w:trHeight w:val="64"/>
        </w:trPr>
        <w:tc>
          <w:tcPr>
            <w:tcW w:w="0" w:type="auto"/>
            <w:vMerge/>
            <w:vAlign w:val="center"/>
            <w:hideMark/>
          </w:tcPr>
          <w:p w:rsidR="00D64FF2" w:rsidRDefault="00D64FF2"/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Ульяновский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57,5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9700" cy="120650"/>
                      <wp:effectExtent l="0" t="0" r="12700" b="12700"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2506AE" id="Овал 48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CvbuUU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>не изменилась</w:t>
            </w:r>
          </w:p>
        </w:tc>
      </w:tr>
      <w:tr w:rsidR="00D64FF2" w:rsidTr="00D64FF2">
        <w:trPr>
          <w:trHeight w:val="64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4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Новомалыклинский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59,1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+ 4 </w:t>
            </w:r>
            <w:r>
              <w:rPr>
                <w:rFonts w:ascii="PT Astra Serif" w:hAnsi="PT Astra Serif"/>
              </w:rPr>
              <w:t>позиции</w:t>
            </w:r>
          </w:p>
        </w:tc>
      </w:tr>
      <w:tr w:rsidR="00D64FF2" w:rsidTr="00D64FF2">
        <w:trPr>
          <w:trHeight w:val="146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3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Мелекесский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59,8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+ 8 </w:t>
            </w:r>
            <w:r>
              <w:rPr>
                <w:rFonts w:ascii="PT Astra Serif" w:hAnsi="PT Astra Serif"/>
              </w:rPr>
              <w:t>позиций</w:t>
            </w:r>
          </w:p>
        </w:tc>
      </w:tr>
      <w:tr w:rsidR="00D64FF2" w:rsidTr="00D64FF2">
        <w:trPr>
          <w:trHeight w:val="225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2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Чердаклинский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62,7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9700" cy="120650"/>
                      <wp:effectExtent l="0" t="0" r="12700" b="12700"/>
                      <wp:docPr id="47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695287" id="Овал 47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C8pP3w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>не изменилась</w:t>
            </w:r>
          </w:p>
        </w:tc>
      </w:tr>
      <w:tr w:rsidR="00D64FF2" w:rsidTr="00D64FF2">
        <w:trPr>
          <w:trHeight w:val="350"/>
        </w:trPr>
        <w:tc>
          <w:tcPr>
            <w:tcW w:w="781" w:type="pct"/>
            <w:vAlign w:val="center"/>
            <w:hideMark/>
          </w:tcPr>
          <w:p w:rsidR="00D64FF2" w:rsidRDefault="00D64FF2">
            <w:pPr>
              <w:jc w:val="center"/>
            </w:pPr>
            <w:r>
              <w:t>1</w:t>
            </w:r>
          </w:p>
        </w:tc>
        <w:tc>
          <w:tcPr>
            <w:tcW w:w="1798" w:type="pct"/>
            <w:hideMark/>
          </w:tcPr>
          <w:p w:rsidR="00D64FF2" w:rsidRDefault="00D64FF2">
            <w:pPr>
              <w:jc w:val="center"/>
            </w:pPr>
            <w:r>
              <w:t>Новоспасский</w:t>
            </w:r>
          </w:p>
        </w:tc>
        <w:tc>
          <w:tcPr>
            <w:tcW w:w="784" w:type="pct"/>
            <w:hideMark/>
          </w:tcPr>
          <w:p w:rsidR="00D64FF2" w:rsidRDefault="00D64FF2">
            <w:pPr>
              <w:jc w:val="center"/>
            </w:pPr>
            <w:r>
              <w:t>64,3</w:t>
            </w:r>
          </w:p>
        </w:tc>
        <w:tc>
          <w:tcPr>
            <w:tcW w:w="1637" w:type="pct"/>
            <w:hideMark/>
          </w:tcPr>
          <w:p w:rsidR="00D64FF2" w:rsidRDefault="00D64F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+ 2 </w:t>
            </w:r>
            <w:r>
              <w:rPr>
                <w:rFonts w:ascii="PT Astra Serif" w:hAnsi="PT Astra Serif"/>
              </w:rPr>
              <w:t>позиции</w:t>
            </w:r>
          </w:p>
        </w:tc>
      </w:tr>
    </w:tbl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Районы - лидеры стабильно удерживают свои позиции. В текущем периоде следует выделить </w:t>
      </w:r>
      <w:r>
        <w:rPr>
          <w:rFonts w:ascii="PT Astra Serif" w:hAnsi="PT Astra Serif"/>
          <w:b/>
          <w:u w:val="single"/>
        </w:rPr>
        <w:t>позитивную динамику Новомалыклинского района, который вошёл в пятёрку лидеров рейтинга.</w:t>
      </w:r>
      <w:r>
        <w:rPr>
          <w:rFonts w:ascii="PT Astra Serif" w:hAnsi="PT Astra Serif"/>
        </w:rPr>
        <w:t xml:space="preserve"> Район показывает </w:t>
      </w:r>
      <w:r>
        <w:rPr>
          <w:rFonts w:ascii="PT Astra Serif" w:hAnsi="PT Astra Serif"/>
          <w:b/>
        </w:rPr>
        <w:t>высокий уровень достижения плановых значений показателей по объёму инвестиций</w:t>
      </w:r>
      <w:r>
        <w:rPr>
          <w:rFonts w:ascii="PT Astra Serif" w:hAnsi="PT Astra Serif"/>
        </w:rPr>
        <w:t xml:space="preserve"> в основной капитал и </w:t>
      </w:r>
      <w:r>
        <w:rPr>
          <w:rFonts w:ascii="PT Astra Serif" w:hAnsi="PT Astra Serif"/>
          <w:b/>
        </w:rPr>
        <w:t>созданию рабочих мест (1 и 2 место соответственно)</w:t>
      </w:r>
      <w:r>
        <w:rPr>
          <w:rFonts w:ascii="PT Astra Serif" w:hAnsi="PT Astra Serif"/>
        </w:rPr>
        <w:t xml:space="preserve">, имеет одни из самых </w:t>
      </w:r>
      <w:r>
        <w:rPr>
          <w:rFonts w:ascii="PT Astra Serif" w:hAnsi="PT Astra Serif"/>
          <w:b/>
        </w:rPr>
        <w:t>высоких темпов роста среднемесячной заработной платы</w:t>
      </w:r>
      <w:r>
        <w:rPr>
          <w:rFonts w:ascii="PT Astra Serif" w:hAnsi="PT Astra Serif"/>
        </w:rPr>
        <w:t xml:space="preserve"> (110,1%) и </w:t>
      </w:r>
      <w:r>
        <w:rPr>
          <w:rFonts w:ascii="PT Astra Serif" w:hAnsi="PT Astra Serif"/>
          <w:b/>
        </w:rPr>
        <w:t>объёма НДФЛ</w:t>
      </w:r>
      <w:r>
        <w:rPr>
          <w:rFonts w:ascii="PT Astra Serif" w:hAnsi="PT Astra Serif"/>
        </w:rPr>
        <w:t xml:space="preserve">, зачисляемого в бюджет МО (108,6%, </w:t>
      </w:r>
      <w:r>
        <w:rPr>
          <w:rFonts w:ascii="PT Astra Serif" w:hAnsi="PT Astra Serif"/>
          <w:b/>
          <w:u w:val="single"/>
        </w:rPr>
        <w:t>+6 позиций за месяц</w:t>
      </w:r>
      <w:r>
        <w:rPr>
          <w:rFonts w:ascii="PT Astra Serif" w:hAnsi="PT Astra Serif"/>
        </w:rPr>
        <w:t xml:space="preserve">). Также отмечается </w:t>
      </w:r>
      <w:r>
        <w:rPr>
          <w:rFonts w:ascii="PT Astra Serif" w:hAnsi="PT Astra Serif"/>
          <w:b/>
        </w:rPr>
        <w:t>снижение уровня безработицы</w:t>
      </w:r>
      <w:r>
        <w:rPr>
          <w:rFonts w:ascii="PT Astra Serif" w:hAnsi="PT Astra Serif"/>
        </w:rPr>
        <w:t xml:space="preserve"> за месяц с 0,37% до 0,28%. В демографическом блоке показывает самые </w:t>
      </w:r>
      <w:r>
        <w:rPr>
          <w:rFonts w:ascii="PT Astra Serif" w:hAnsi="PT Astra Serif"/>
          <w:b/>
        </w:rPr>
        <w:t>высокие темпы роста рождаемости</w:t>
      </w:r>
      <w:r>
        <w:rPr>
          <w:rFonts w:ascii="PT Astra Serif" w:hAnsi="PT Astra Serif"/>
        </w:rPr>
        <w:t xml:space="preserve"> (115,9%) и 5 место </w:t>
      </w:r>
      <w:r>
        <w:rPr>
          <w:rFonts w:ascii="PT Astra Serif" w:hAnsi="PT Astra Serif"/>
          <w:b/>
        </w:rPr>
        <w:t>по коэффициенту рождаемости</w:t>
      </w:r>
      <w:r>
        <w:rPr>
          <w:rFonts w:ascii="PT Astra Serif" w:hAnsi="PT Astra Serif"/>
        </w:rPr>
        <w:t>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В последней пятёрке рейтинга по сравнению с прошлым месяцем также не произошло существенных изменений</w:t>
      </w:r>
      <w:r>
        <w:rPr>
          <w:rFonts w:ascii="PT Astra Serif" w:hAnsi="PT Astra Serif"/>
        </w:rPr>
        <w:t xml:space="preserve"> – </w:t>
      </w:r>
      <w:r>
        <w:rPr>
          <w:rFonts w:ascii="PT Astra Serif" w:hAnsi="PT Astra Serif"/>
          <w:b/>
          <w:u w:val="single"/>
        </w:rPr>
        <w:t>её состав изменился на один район.</w:t>
      </w:r>
      <w:r>
        <w:rPr>
          <w:rFonts w:ascii="PT Astra Serif" w:hAnsi="PT Astra Serif"/>
        </w:rPr>
        <w:t xml:space="preserve"> Пятёрку аутсайдеров покинул </w:t>
      </w:r>
      <w:r>
        <w:rPr>
          <w:rFonts w:ascii="PT Astra Serif" w:hAnsi="PT Astra Serif"/>
          <w:b/>
          <w:i/>
        </w:rPr>
        <w:t>Старокулаткинский</w:t>
      </w:r>
      <w:r>
        <w:rPr>
          <w:rFonts w:ascii="PT Astra Serif" w:hAnsi="PT Astra Serif"/>
        </w:rPr>
        <w:t xml:space="preserve"> район, который переместился за месяц с 21 места на 18 место. </w:t>
      </w:r>
      <w:r>
        <w:rPr>
          <w:rFonts w:ascii="PT Astra Serif" w:hAnsi="PT Astra Serif"/>
          <w:b/>
        </w:rPr>
        <w:t>Основное влияние на улучшение позиций оказало погашение части задолженности перед субъектами предпринимательства</w:t>
      </w:r>
      <w:r>
        <w:rPr>
          <w:rFonts w:ascii="PT Astra Serif" w:hAnsi="PT Astra Serif"/>
        </w:rPr>
        <w:t xml:space="preserve"> (на 317 тыс. руб.), </w:t>
      </w:r>
      <w:r>
        <w:rPr>
          <w:rFonts w:ascii="PT Astra Serif" w:hAnsi="PT Astra Serif"/>
          <w:b/>
        </w:rPr>
        <w:t>снижение уровня безработицы</w:t>
      </w:r>
      <w:r>
        <w:rPr>
          <w:rFonts w:ascii="PT Astra Serif" w:hAnsi="PT Astra Serif"/>
        </w:rPr>
        <w:t xml:space="preserve"> за месяц с 0,69% до 0,48% (+4 позиции) и изменение темпов роста рождаемости с 94,6% (на 01.08.19) до 113,5% (на 01.09.2019) – 2 место, родилось на 5 детей больше, чем в аналогичном периоде прошлого года.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 xml:space="preserve">В свою очередь, </w:t>
      </w:r>
      <w:r>
        <w:rPr>
          <w:rFonts w:ascii="PT Astra Serif" w:hAnsi="PT Astra Serif"/>
          <w:b/>
          <w:u w:val="single"/>
        </w:rPr>
        <w:t>в число худших вновь вошёл Радищевский район</w:t>
      </w:r>
      <w:r>
        <w:rPr>
          <w:rFonts w:ascii="PT Astra Serif" w:hAnsi="PT Astra Serif"/>
        </w:rPr>
        <w:t xml:space="preserve">, переместившись </w:t>
      </w:r>
      <w:r>
        <w:rPr>
          <w:rFonts w:ascii="PT Astra Serif" w:hAnsi="PT Astra Serif"/>
          <w:b/>
          <w:u w:val="single"/>
        </w:rPr>
        <w:t>за месяц с 17 места на 22</w:t>
      </w:r>
      <w:r>
        <w:rPr>
          <w:rFonts w:ascii="PT Astra Serif" w:hAnsi="PT Astra Serif"/>
        </w:rPr>
        <w:t xml:space="preserve">, а по сравнению с прошлым годом муниципалитет упал на 6 позиций. </w:t>
      </w:r>
      <w:r>
        <w:rPr>
          <w:rFonts w:ascii="PT Astra Serif" w:hAnsi="PT Astra Serif"/>
          <w:b/>
        </w:rPr>
        <w:t>Ухудшение рейтинговых позиций связано с ростом уровня безработицы</w:t>
      </w:r>
      <w:r>
        <w:rPr>
          <w:rFonts w:ascii="PT Astra Serif" w:hAnsi="PT Astra Serif"/>
        </w:rPr>
        <w:t xml:space="preserve">, которая по сравнению с прошлым месяцем выросла с 0,46% до 0,61% (+9 зарегистрированных безработных граждан), </w:t>
      </w:r>
      <w:r>
        <w:rPr>
          <w:rFonts w:ascii="PT Astra Serif" w:hAnsi="PT Astra Serif"/>
          <w:b/>
        </w:rPr>
        <w:t>ростом смертности от ДТП</w:t>
      </w:r>
      <w:r>
        <w:rPr>
          <w:rFonts w:ascii="PT Astra Serif" w:hAnsi="PT Astra Serif"/>
        </w:rPr>
        <w:t xml:space="preserve"> (+1 смертельный случай за месяц).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Ниже приведены </w:t>
      </w:r>
      <w:r>
        <w:rPr>
          <w:rFonts w:ascii="PT Astra Serif" w:hAnsi="PT Astra Serif"/>
          <w:b/>
        </w:rPr>
        <w:t xml:space="preserve">основные </w:t>
      </w:r>
      <w:r>
        <w:rPr>
          <w:rFonts w:ascii="PT Astra Serif" w:hAnsi="PT Astra Serif"/>
          <w:b/>
          <w:u w:val="single"/>
        </w:rPr>
        <w:t>яркие и провальные</w:t>
      </w:r>
      <w:r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>
        <w:rPr>
          <w:rFonts w:ascii="PT Astra Serif" w:hAnsi="PT Astra Serif"/>
        </w:rPr>
        <w:t>: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b/>
          <w:u w:val="single"/>
          <w:lang w:val="en-US"/>
        </w:rPr>
        <w:t>I</w:t>
      </w:r>
      <w:r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>
        <w:rPr>
          <w:rFonts w:ascii="PT Astra Serif" w:hAnsi="PT Astra Serif"/>
          <w:u w:val="single"/>
        </w:rPr>
        <w:t>: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Установленный план по созданию рабочих мест выполняется во всех муниципальных образованиях региона.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Самый </w:t>
      </w:r>
      <w:r>
        <w:rPr>
          <w:rFonts w:ascii="PT Astra Serif" w:hAnsi="PT Astra Serif"/>
          <w:b/>
        </w:rPr>
        <w:t>низкий объём инвестиций в основной капитал</w:t>
      </w:r>
      <w:r>
        <w:rPr>
          <w:rFonts w:ascii="PT Astra Serif" w:hAnsi="PT Astra Serif"/>
        </w:rPr>
        <w:t xml:space="preserve"> (на душу населения) отмечается в </w:t>
      </w:r>
      <w:r>
        <w:rPr>
          <w:rFonts w:ascii="PT Astra Serif" w:hAnsi="PT Astra Serif"/>
          <w:b/>
          <w:i/>
        </w:rPr>
        <w:t>Павловском,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i/>
        </w:rPr>
        <w:t xml:space="preserve">Вешкаймском и Старокулаткинском </w:t>
      </w:r>
      <w:r>
        <w:rPr>
          <w:rFonts w:ascii="PT Astra Serif" w:hAnsi="PT Astra Serif"/>
        </w:rPr>
        <w:t>районах – более чем в 11 раз ниже среднеобластного значения.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</w:rPr>
        <w:lastRenderedPageBreak/>
        <w:t xml:space="preserve">По итогам трёх кварталов 2019 года годовой план по объёму инвестиций в основной капитал (за исключением бюджетных средств) выполнен более чем на 75% только в 8 муниципальных образованиях. </w:t>
      </w:r>
      <w:r>
        <w:rPr>
          <w:rFonts w:ascii="PT Astra Serif" w:hAnsi="PT Astra Serif"/>
          <w:b/>
        </w:rPr>
        <w:t xml:space="preserve">Хуже всего план выполняется в Радищевском, Барышском, Чердаклинском и Вешкаймском районах – </w:t>
      </w:r>
      <w:r>
        <w:rPr>
          <w:rFonts w:ascii="PT Astra Serif" w:hAnsi="PT Astra Serif"/>
          <w:b/>
          <w:u w:val="single"/>
        </w:rPr>
        <w:t>менее 30% от годового плана.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i/>
          <w:spacing w:val="-2"/>
          <w:highlight w:val="yellow"/>
        </w:rPr>
      </w:pPr>
      <w:r>
        <w:rPr>
          <w:rFonts w:ascii="PT Astra Serif" w:hAnsi="PT Astra Serif"/>
          <w:b/>
          <w:spacing w:val="-2"/>
        </w:rPr>
        <w:t>Отрицательные тенденции по поступлению налогов по специальным налоговым режимам (УСНО, патентная, ЕСХН) сохраняется в 7 муниципальных образованиях.</w:t>
      </w:r>
      <w:r>
        <w:rPr>
          <w:rFonts w:ascii="PT Astra Serif" w:hAnsi="PT Astra Serif"/>
          <w:spacing w:val="-2"/>
        </w:rPr>
        <w:t xml:space="preserve"> Последние места заняли </w:t>
      </w:r>
      <w:r>
        <w:rPr>
          <w:rFonts w:ascii="PT Astra Serif" w:hAnsi="PT Astra Serif"/>
          <w:b/>
          <w:i/>
          <w:spacing w:val="-2"/>
        </w:rPr>
        <w:t>Новомалыклинский и Сенгилеевский районы и г.</w:t>
      </w:r>
      <w:r>
        <w:rPr>
          <w:rFonts w:ascii="PT Astra Serif" w:hAnsi="PT Astra Serif"/>
          <w:b/>
          <w:i/>
          <w:spacing w:val="-2"/>
          <w:lang w:val="en-US"/>
        </w:rPr>
        <w:t> </w:t>
      </w:r>
      <w:r>
        <w:rPr>
          <w:rFonts w:ascii="PT Astra Serif" w:hAnsi="PT Astra Serif"/>
          <w:b/>
          <w:i/>
          <w:spacing w:val="-2"/>
        </w:rPr>
        <w:t>Новоульяновск</w:t>
      </w:r>
      <w:r>
        <w:rPr>
          <w:rFonts w:ascii="PT Astra Serif" w:hAnsi="PT Astra Serif"/>
          <w:spacing w:val="-2"/>
        </w:rPr>
        <w:t xml:space="preserve"> – 59,9%, 67,8% и 72,7% к уровню аналогичного периода прошлого года соответственно. Самые высокие темпы роста показывает </w:t>
      </w:r>
      <w:r>
        <w:rPr>
          <w:rFonts w:ascii="PT Astra Serif" w:hAnsi="PT Astra Serif"/>
          <w:b/>
          <w:i/>
          <w:spacing w:val="-2"/>
        </w:rPr>
        <w:t>Николаевский район – 151,8%.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spacing w:val="-2"/>
        </w:rPr>
      </w:pPr>
      <w:r>
        <w:rPr>
          <w:rFonts w:ascii="PT Astra Serif" w:hAnsi="PT Astra Serif"/>
          <w:spacing w:val="-2"/>
        </w:rPr>
        <w:t>Самая</w:t>
      </w:r>
      <w:r>
        <w:rPr>
          <w:rFonts w:ascii="PT Astra Serif" w:hAnsi="PT Astra Serif"/>
          <w:b/>
          <w:spacing w:val="-2"/>
        </w:rPr>
        <w:t xml:space="preserve"> большая сумма задолженности бюджета муниципального образования перед субъектами предпринимательства (в расчёте на душу населения) </w:t>
      </w:r>
      <w:r>
        <w:rPr>
          <w:rFonts w:ascii="PT Astra Serif" w:hAnsi="PT Astra Serif"/>
          <w:spacing w:val="-2"/>
        </w:rPr>
        <w:t>на протяжении всего года сохраняется</w:t>
      </w:r>
      <w:r>
        <w:rPr>
          <w:rFonts w:ascii="PT Astra Serif" w:hAnsi="PT Astra Serif"/>
          <w:b/>
          <w:spacing w:val="-2"/>
        </w:rPr>
        <w:t xml:space="preserve"> в </w:t>
      </w:r>
      <w:r>
        <w:rPr>
          <w:rFonts w:ascii="PT Astra Serif" w:hAnsi="PT Astra Serif"/>
          <w:b/>
          <w:i/>
          <w:spacing w:val="-2"/>
        </w:rPr>
        <w:t xml:space="preserve">Павловском </w:t>
      </w:r>
      <w:r>
        <w:rPr>
          <w:rFonts w:ascii="PT Astra Serif" w:hAnsi="PT Astra Serif"/>
          <w:b/>
          <w:spacing w:val="-2"/>
        </w:rPr>
        <w:t xml:space="preserve">(в 6 раз больше среднеобластного значения) </w:t>
      </w:r>
      <w:r>
        <w:rPr>
          <w:rFonts w:ascii="PT Astra Serif" w:hAnsi="PT Astra Serif"/>
          <w:b/>
          <w:spacing w:val="-2"/>
          <w:u w:val="single"/>
        </w:rPr>
        <w:t>и Вешкаймском районе (в 13 раз больше среднеобластного уровня) – в текущем месяце произошёл рост в 8,5 раза.</w:t>
      </w:r>
      <w:r>
        <w:rPr>
          <w:rFonts w:ascii="PT Astra Serif" w:hAnsi="PT Astra Serif"/>
          <w:spacing w:val="-2"/>
        </w:rPr>
        <w:t xml:space="preserve"> Согласно целевым индикаторам, установленным для МО на 2019 год, по итогам года </w:t>
      </w:r>
      <w:r>
        <w:rPr>
          <w:rFonts w:ascii="PT Astra Serif" w:hAnsi="PT Astra Serif"/>
          <w:b/>
          <w:spacing w:val="-2"/>
          <w:u w:val="single"/>
        </w:rPr>
        <w:t>данная задолженность должна отсутствовать во всех муниципалитетах.</w:t>
      </w:r>
      <w:r>
        <w:rPr>
          <w:rFonts w:ascii="PT Astra Serif" w:hAnsi="PT Astra Serif"/>
          <w:spacing w:val="-2"/>
        </w:rPr>
        <w:t xml:space="preserve"> С данной задачей в настоящее время справляется только </w:t>
      </w:r>
      <w:r>
        <w:rPr>
          <w:rFonts w:ascii="PT Astra Serif" w:hAnsi="PT Astra Serif"/>
          <w:i/>
          <w:spacing w:val="-2"/>
        </w:rPr>
        <w:t>г. Ульяновск, Николаевский и Ульяновский</w:t>
      </w:r>
      <w:r>
        <w:rPr>
          <w:rFonts w:ascii="PT Astra Serif" w:hAnsi="PT Astra Serif"/>
          <w:spacing w:val="-2"/>
        </w:rPr>
        <w:t xml:space="preserve"> районы, где задолженность погашена полностью. </w:t>
      </w:r>
      <w:r>
        <w:rPr>
          <w:rFonts w:ascii="PT Astra Serif" w:hAnsi="PT Astra Serif"/>
          <w:b/>
          <w:spacing w:val="-2"/>
        </w:rPr>
        <w:t>Задолженность менее 500 тыс. рулей отмечается в 7 муниципальных образованиях</w:t>
      </w:r>
      <w:r>
        <w:rPr>
          <w:rFonts w:ascii="PT Astra Serif" w:hAnsi="PT Astra Serif"/>
          <w:spacing w:val="-2"/>
        </w:rPr>
        <w:t xml:space="preserve"> (Барышский, Новоспасский, Радищевский, Старомайнский, Сурский и Цильнинский районы и г. Новоульяновск) – данные районы находятся в 10-ке лидеров.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i/>
          <w:spacing w:val="-2"/>
          <w:sz w:val="20"/>
          <w:szCs w:val="20"/>
        </w:rPr>
      </w:pP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u w:val="single"/>
          <w:lang w:val="en-US"/>
        </w:rPr>
        <w:t>II</w:t>
      </w:r>
      <w:r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>
        <w:rPr>
          <w:rFonts w:ascii="PT Astra Serif" w:hAnsi="PT Astra Serif"/>
        </w:rPr>
        <w:t xml:space="preserve"> самый низкий объём налоговых и неналоговых доходов бюджета МО (на душу населения)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в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i/>
        </w:rPr>
        <w:t>Карсунском (2836 руб.), Тереньгульском (2833 руб.) и Базарносызганском районах (2907 руб.),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 xml:space="preserve">что в 1,8 раза ниже среднеобластного значения. </w:t>
      </w:r>
      <w:r>
        <w:rPr>
          <w:rFonts w:ascii="PT Astra Serif" w:hAnsi="PT Astra Serif"/>
        </w:rPr>
        <w:t xml:space="preserve">На 1 месте по данному показателю находится </w:t>
      </w:r>
      <w:r>
        <w:rPr>
          <w:rFonts w:ascii="PT Astra Serif" w:hAnsi="PT Astra Serif"/>
          <w:b/>
          <w:i/>
        </w:rPr>
        <w:t>Новоспасский</w:t>
      </w:r>
      <w:r>
        <w:rPr>
          <w:rFonts w:ascii="PT Astra Serif" w:hAnsi="PT Astra Serif"/>
        </w:rPr>
        <w:t xml:space="preserve"> район – 6272,7 руб.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highlight w:val="yellow"/>
        </w:rPr>
      </w:pPr>
      <w:r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>
        <w:rPr>
          <w:rFonts w:ascii="PT Astra Serif" w:hAnsi="PT Astra Serif"/>
        </w:rPr>
        <w:t xml:space="preserve"> (начисления на оплату труда, коммунальные услуги и др.) в расчёте на душу населения сохраняется на протяжении последних лет </w:t>
      </w:r>
      <w:r>
        <w:rPr>
          <w:rFonts w:ascii="PT Astra Serif" w:hAnsi="PT Astra Serif"/>
          <w:b/>
          <w:i/>
        </w:rPr>
        <w:t>в Сенгилеевском районе</w:t>
      </w:r>
      <w:r>
        <w:rPr>
          <w:rFonts w:ascii="PT Astra Serif" w:hAnsi="PT Astra Serif"/>
        </w:rPr>
        <w:t xml:space="preserve"> – в 8 раз больше среднеобластного значения, а также в </w:t>
      </w:r>
      <w:r>
        <w:rPr>
          <w:rFonts w:ascii="PT Astra Serif" w:hAnsi="PT Astra Serif"/>
          <w:b/>
          <w:i/>
        </w:rPr>
        <w:t>Карсунском районе</w:t>
      </w:r>
      <w:r>
        <w:rPr>
          <w:rFonts w:ascii="PT Astra Serif" w:hAnsi="PT Astra Serif"/>
        </w:rPr>
        <w:t xml:space="preserve"> – в 5 раз больше среднеобластного уровня. Кроме того, </w:t>
      </w:r>
      <w:r>
        <w:rPr>
          <w:rFonts w:ascii="PT Astra Serif" w:hAnsi="PT Astra Serif"/>
          <w:b/>
          <w:i/>
        </w:rPr>
        <w:t>в Сенгилеевском районе</w:t>
      </w:r>
      <w:r>
        <w:rPr>
          <w:rFonts w:ascii="PT Astra Serif" w:hAnsi="PT Astra Serif"/>
          <w:b/>
        </w:rPr>
        <w:t xml:space="preserve"> наблюдается прирост данной задолженности </w:t>
      </w:r>
      <w:r>
        <w:rPr>
          <w:rFonts w:ascii="PT Astra Serif" w:hAnsi="PT Astra Serif"/>
        </w:rPr>
        <w:lastRenderedPageBreak/>
        <w:t>(114,8% к уровню аналогичного периода прошлого года).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Самый высокий</w:t>
      </w:r>
      <w:r>
        <w:rPr>
          <w:rFonts w:ascii="PT Astra Serif" w:hAnsi="PT Astra Serif"/>
          <w:b/>
        </w:rPr>
        <w:t xml:space="preserve"> рост показателя отмечается в </w:t>
      </w:r>
      <w:r>
        <w:rPr>
          <w:rFonts w:ascii="PT Astra Serif" w:hAnsi="PT Astra Serif"/>
          <w:b/>
          <w:i/>
        </w:rPr>
        <w:t>Новоспасском</w:t>
      </w:r>
      <w:r>
        <w:rPr>
          <w:rFonts w:ascii="PT Astra Serif" w:hAnsi="PT Astra Serif"/>
          <w:b/>
        </w:rPr>
        <w:t xml:space="preserve"> районе – 171,45% (21 место).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highlight w:val="yellow"/>
        </w:rPr>
      </w:pPr>
      <w:r>
        <w:rPr>
          <w:rFonts w:ascii="PT Astra Serif" w:hAnsi="PT Astra Serif"/>
        </w:rPr>
        <w:t>Отрицательная динамика</w:t>
      </w:r>
      <w:r>
        <w:rPr>
          <w:rFonts w:ascii="PT Astra Serif" w:hAnsi="PT Astra Serif"/>
          <w:b/>
        </w:rPr>
        <w:t xml:space="preserve"> по темпам роста оборота организаций сохраняется в 11 из 24 муниципальных образований. </w:t>
      </w:r>
      <w:r>
        <w:rPr>
          <w:rFonts w:ascii="PT Astra Serif" w:hAnsi="PT Astra Serif"/>
        </w:rPr>
        <w:t>Наихудшая ситуация в</w:t>
      </w:r>
      <w:r>
        <w:rPr>
          <w:rFonts w:ascii="PT Astra Serif" w:hAnsi="PT Astra Serif"/>
          <w:b/>
        </w:rPr>
        <w:t> </w:t>
      </w:r>
      <w:r>
        <w:rPr>
          <w:rFonts w:ascii="PT Astra Serif" w:hAnsi="PT Astra Serif"/>
          <w:b/>
          <w:i/>
        </w:rPr>
        <w:t>Барышском районе</w:t>
      </w:r>
      <w:r>
        <w:rPr>
          <w:rFonts w:ascii="PT Astra Serif" w:hAnsi="PT Astra Serif"/>
          <w:b/>
        </w:rPr>
        <w:t xml:space="preserve"> – 73,8%, </w:t>
      </w:r>
      <w:r>
        <w:rPr>
          <w:rFonts w:ascii="PT Astra Serif" w:hAnsi="PT Astra Serif"/>
          <w:b/>
          <w:i/>
        </w:rPr>
        <w:t>Николаевском</w:t>
      </w:r>
      <w:r>
        <w:rPr>
          <w:rFonts w:ascii="PT Astra Serif" w:hAnsi="PT Astra Serif"/>
          <w:b/>
        </w:rPr>
        <w:t xml:space="preserve"> – 75,7%, Мелекесском – 82,7% и </w:t>
      </w:r>
      <w:r>
        <w:rPr>
          <w:rFonts w:ascii="PT Astra Serif" w:hAnsi="PT Astra Serif"/>
          <w:b/>
          <w:i/>
        </w:rPr>
        <w:t>г. Димитровграде</w:t>
      </w:r>
      <w:r>
        <w:rPr>
          <w:rFonts w:ascii="PT Astra Serif" w:hAnsi="PT Astra Serif"/>
          <w:b/>
        </w:rPr>
        <w:t xml:space="preserve"> – 86,9%. </w:t>
      </w:r>
      <w:r>
        <w:rPr>
          <w:rFonts w:ascii="PT Astra Serif" w:hAnsi="PT Astra Serif"/>
        </w:rPr>
        <w:t>Самые</w:t>
      </w:r>
      <w:r>
        <w:rPr>
          <w:rFonts w:ascii="PT Astra Serif" w:hAnsi="PT Astra Serif"/>
          <w:b/>
        </w:rPr>
        <w:t xml:space="preserve"> высокие темпы роста показывает </w:t>
      </w:r>
      <w:r>
        <w:rPr>
          <w:rFonts w:ascii="PT Astra Serif" w:hAnsi="PT Astra Serif"/>
          <w:b/>
          <w:i/>
        </w:rPr>
        <w:t xml:space="preserve">Сурский </w:t>
      </w:r>
      <w:r>
        <w:rPr>
          <w:rFonts w:ascii="PT Astra Serif" w:hAnsi="PT Astra Serif"/>
          <w:b/>
        </w:rPr>
        <w:t>район – 15</w:t>
      </w:r>
      <w:r w:rsidRPr="00D64FF2">
        <w:rPr>
          <w:rFonts w:ascii="PT Astra Serif" w:hAnsi="PT Astra Serif"/>
          <w:b/>
        </w:rPr>
        <w:t>6</w:t>
      </w:r>
      <w:r>
        <w:rPr>
          <w:rFonts w:ascii="PT Astra Serif" w:hAnsi="PT Astra Serif"/>
          <w:b/>
        </w:rPr>
        <w:t>%.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По отгрузке товаров собственного производства (на душу населения) на последних местах находятся </w:t>
      </w:r>
      <w:r>
        <w:rPr>
          <w:rFonts w:ascii="PT Astra Serif" w:hAnsi="PT Astra Serif"/>
          <w:b/>
          <w:i/>
        </w:rPr>
        <w:t>Павловский, Карсунский и Радищевский районы</w:t>
      </w:r>
      <w:r>
        <w:rPr>
          <w:rFonts w:ascii="PT Astra Serif" w:hAnsi="PT Astra Serif"/>
        </w:rPr>
        <w:t xml:space="preserve"> – данные муниципалитеты были также в числе худших на протяжении 2018 года по указанному показателю. </w:t>
      </w:r>
      <w:r>
        <w:rPr>
          <w:rFonts w:ascii="PT Astra Serif" w:hAnsi="PT Astra Serif"/>
          <w:b/>
        </w:rPr>
        <w:t>Лидерами являются Чердаклинский и Новоспасский районы.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  <w:b/>
        </w:rPr>
        <w:t>В отрасли «строительство»</w:t>
      </w:r>
      <w:r>
        <w:rPr>
          <w:rFonts w:ascii="PT Astra Serif" w:hAnsi="PT Astra Serif"/>
        </w:rPr>
        <w:t xml:space="preserve"> самые низкие объёмы ввода в действие жилья (на 1000 населения) показывают </w:t>
      </w:r>
      <w:r>
        <w:rPr>
          <w:rFonts w:ascii="PT Astra Serif" w:hAnsi="PT Astra Serif"/>
          <w:b/>
          <w:i/>
        </w:rPr>
        <w:t xml:space="preserve">г. Новоульяновск, Барышский, Старокулаткинский и Павловский районы (в 2 раза ниже среднеобластного уровня). </w:t>
      </w:r>
      <w:r>
        <w:rPr>
          <w:rFonts w:ascii="PT Astra Serif" w:hAnsi="PT Astra Serif"/>
          <w:b/>
        </w:rPr>
        <w:t xml:space="preserve">Лидером </w:t>
      </w:r>
      <w:r>
        <w:rPr>
          <w:rFonts w:ascii="PT Astra Serif" w:hAnsi="PT Astra Serif"/>
        </w:rPr>
        <w:t>по вводу в действие жилья (на 1000 населения)</w:t>
      </w:r>
      <w:r>
        <w:rPr>
          <w:rFonts w:ascii="PT Astra Serif" w:hAnsi="PT Astra Serif"/>
          <w:b/>
        </w:rPr>
        <w:t xml:space="preserve"> стал </w:t>
      </w:r>
      <w:r>
        <w:rPr>
          <w:rFonts w:ascii="PT Astra Serif" w:hAnsi="PT Astra Serif"/>
          <w:b/>
          <w:i/>
        </w:rPr>
        <w:t xml:space="preserve">Старомайнский район – 816,4 кв.м. </w:t>
      </w:r>
      <w:r>
        <w:rPr>
          <w:rFonts w:ascii="PT Astra Serif" w:hAnsi="PT Astra Serif"/>
        </w:rPr>
        <w:t>По индексу физического</w:t>
      </w:r>
      <w:r>
        <w:rPr>
          <w:rFonts w:ascii="PT Astra Serif" w:hAnsi="PT Astra Serif"/>
          <w:b/>
          <w:i/>
        </w:rPr>
        <w:t xml:space="preserve"> </w:t>
      </w:r>
      <w:r>
        <w:rPr>
          <w:rFonts w:ascii="PT Astra Serif" w:hAnsi="PT Astra Serif"/>
        </w:rPr>
        <w:t xml:space="preserve">объёма работ, выполненных собственными силами по чистому виду деятельности «строительство», </w:t>
      </w:r>
      <w:r>
        <w:rPr>
          <w:rFonts w:ascii="PT Astra Serif" w:hAnsi="PT Astra Serif"/>
          <w:b/>
        </w:rPr>
        <w:t>отрицательные тенденции наблюдаются в 6 муниципальных образованиях.</w:t>
      </w:r>
      <w:r>
        <w:rPr>
          <w:rFonts w:ascii="PT Astra Serif" w:hAnsi="PT Astra Serif"/>
        </w:rPr>
        <w:t xml:space="preserve"> Самый худший результат остаётся в </w:t>
      </w:r>
      <w:r>
        <w:rPr>
          <w:rFonts w:ascii="PT Astra Serif" w:hAnsi="PT Astra Serif"/>
          <w:b/>
          <w:i/>
        </w:rPr>
        <w:t>г. Димитровграде</w:t>
      </w:r>
      <w:r>
        <w:rPr>
          <w:rFonts w:ascii="PT Astra Serif" w:hAnsi="PT Astra Serif"/>
        </w:rPr>
        <w:t xml:space="preserve"> – 27,3% к уровню аналогичного периода прошлого года (по итогам 2018 года также наблюдалось снижение).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u w:val="single"/>
          <w:lang w:val="en-US"/>
        </w:rPr>
        <w:t>III</w:t>
      </w:r>
      <w:r>
        <w:rPr>
          <w:rFonts w:ascii="PT Astra Serif" w:hAnsi="PT Astra Serif"/>
          <w:b/>
          <w:u w:val="single"/>
        </w:rPr>
        <w:t>. В блоке «Денежные доходы населения»</w:t>
      </w:r>
      <w:r>
        <w:rPr>
          <w:rFonts w:ascii="PT Astra Serif" w:hAnsi="PT Astra Serif"/>
        </w:rPr>
        <w:t xml:space="preserve"> по темпам роста среднемесячной начисленной заработной платы отрицательную динамику имеют </w:t>
      </w:r>
      <w:r>
        <w:rPr>
          <w:rFonts w:ascii="PT Astra Serif" w:hAnsi="PT Astra Serif"/>
          <w:b/>
          <w:i/>
        </w:rPr>
        <w:t xml:space="preserve">только Цильнинский район – 98,5% и Павловский район – 98,0%. </w:t>
      </w:r>
      <w:r>
        <w:rPr>
          <w:rFonts w:ascii="PT Astra Serif" w:hAnsi="PT Astra Serif"/>
        </w:rPr>
        <w:t xml:space="preserve">Самые высокие темпы роста обеспечивают </w:t>
      </w:r>
      <w:r>
        <w:rPr>
          <w:rFonts w:ascii="PT Astra Serif" w:hAnsi="PT Astra Serif"/>
          <w:b/>
          <w:i/>
        </w:rPr>
        <w:t>Новомалыклинский и Мелекесский</w:t>
      </w:r>
      <w:r>
        <w:rPr>
          <w:rFonts w:ascii="PT Astra Serif" w:hAnsi="PT Astra Serif"/>
        </w:rPr>
        <w:t xml:space="preserve"> районы – 110,1% и 108,4% соответственно.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Отрицательные тенденции по поступлению НДФЛ</w:t>
      </w:r>
      <w:r>
        <w:rPr>
          <w:rFonts w:ascii="PT Astra Serif" w:hAnsi="PT Astra Serif"/>
        </w:rPr>
        <w:t xml:space="preserve"> в бюджет муниципального образования отмечаются в 5 муниципальных образованиях: </w:t>
      </w:r>
      <w:r>
        <w:rPr>
          <w:rFonts w:ascii="PT Astra Serif" w:hAnsi="PT Astra Serif"/>
          <w:b/>
          <w:i/>
        </w:rPr>
        <w:t xml:space="preserve">Ульяновском </w:t>
      </w:r>
      <w:r>
        <w:rPr>
          <w:rFonts w:ascii="PT Astra Serif" w:hAnsi="PT Astra Serif"/>
        </w:rPr>
        <w:t>районе</w:t>
      </w:r>
      <w:r>
        <w:rPr>
          <w:rFonts w:ascii="PT Astra Serif" w:hAnsi="PT Astra Serif"/>
          <w:b/>
          <w:i/>
        </w:rPr>
        <w:t xml:space="preserve"> </w:t>
      </w:r>
      <w:r>
        <w:rPr>
          <w:rFonts w:ascii="PT Astra Serif" w:hAnsi="PT Astra Serif"/>
        </w:rPr>
        <w:t xml:space="preserve">(80,1% к уровню аналогичного периода прошлого года), </w:t>
      </w:r>
      <w:r>
        <w:rPr>
          <w:rFonts w:ascii="PT Astra Serif" w:hAnsi="PT Astra Serif"/>
          <w:b/>
          <w:i/>
        </w:rPr>
        <w:t>Барышском</w:t>
      </w:r>
      <w:r>
        <w:rPr>
          <w:rFonts w:ascii="PT Astra Serif" w:hAnsi="PT Astra Serif"/>
        </w:rPr>
        <w:t xml:space="preserve"> районе (88,1%), </w:t>
      </w:r>
      <w:r>
        <w:rPr>
          <w:rFonts w:ascii="PT Astra Serif" w:hAnsi="PT Astra Serif"/>
          <w:b/>
          <w:i/>
        </w:rPr>
        <w:t xml:space="preserve">г. Новоульяновске </w:t>
      </w:r>
      <w:r>
        <w:rPr>
          <w:rFonts w:ascii="PT Astra Serif" w:hAnsi="PT Astra Serif"/>
        </w:rPr>
        <w:t>(92,1%),</w:t>
      </w:r>
      <w:r>
        <w:rPr>
          <w:rFonts w:ascii="PT Astra Serif" w:hAnsi="PT Astra Serif"/>
          <w:b/>
          <w:i/>
        </w:rPr>
        <w:t xml:space="preserve"> Мелекесском </w:t>
      </w:r>
      <w:r>
        <w:rPr>
          <w:rFonts w:ascii="PT Astra Serif" w:hAnsi="PT Astra Serif"/>
        </w:rPr>
        <w:t xml:space="preserve">районе (98,5%) и </w:t>
      </w:r>
      <w:r>
        <w:rPr>
          <w:rFonts w:ascii="PT Astra Serif" w:hAnsi="PT Astra Serif"/>
          <w:b/>
          <w:i/>
        </w:rPr>
        <w:t>Майнском</w:t>
      </w:r>
      <w:r>
        <w:rPr>
          <w:rFonts w:ascii="PT Astra Serif" w:hAnsi="PT Astra Serif"/>
        </w:rPr>
        <w:t xml:space="preserve"> районе (98,7%).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Самые низкие объёмы оборота розничной торговли (на душу населения) в </w:t>
      </w:r>
      <w:r>
        <w:rPr>
          <w:rFonts w:ascii="PT Astra Serif" w:hAnsi="PT Astra Serif"/>
          <w:b/>
          <w:i/>
        </w:rPr>
        <w:t>Радищевском,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i/>
        </w:rPr>
        <w:t>Павловском, Старокулаткинском и Базарносызганском райо</w:t>
      </w:r>
      <w:r>
        <w:rPr>
          <w:rFonts w:ascii="PT Astra Serif" w:hAnsi="PT Astra Serif"/>
          <w:b/>
          <w:i/>
        </w:rPr>
        <w:lastRenderedPageBreak/>
        <w:t>нах</w:t>
      </w:r>
      <w:r>
        <w:rPr>
          <w:rFonts w:ascii="PT Astra Serif" w:hAnsi="PT Astra Serif"/>
          <w:b/>
        </w:rPr>
        <w:t xml:space="preserve">. </w:t>
      </w:r>
      <w:r>
        <w:rPr>
          <w:rFonts w:ascii="PT Astra Serif" w:hAnsi="PT Astra Serif"/>
        </w:rPr>
        <w:t>Кроме того,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u w:val="single"/>
        </w:rPr>
        <w:t>Радищевский район – единственный муниципалитет, где наблюдается снижение показателя – 96,8%</w:t>
      </w:r>
      <w:r>
        <w:rPr>
          <w:rFonts w:ascii="PT Astra Serif" w:hAnsi="PT Astra Serif"/>
          <w:b/>
        </w:rPr>
        <w:t xml:space="preserve"> к уровню прошлого года.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Среди муниципальных районов </w:t>
      </w:r>
      <w:r>
        <w:rPr>
          <w:rFonts w:ascii="PT Astra Serif" w:hAnsi="PT Astra Serif"/>
          <w:b/>
        </w:rPr>
        <w:t>самый большой объём</w:t>
      </w:r>
      <w:r>
        <w:rPr>
          <w:rFonts w:ascii="PT Astra Serif" w:hAnsi="PT Astra Serif"/>
        </w:rPr>
        <w:t xml:space="preserve"> оборота розничной торговли (на душу населения) в </w:t>
      </w:r>
      <w:r>
        <w:rPr>
          <w:rFonts w:ascii="PT Astra Serif" w:hAnsi="PT Astra Serif"/>
          <w:b/>
          <w:i/>
        </w:rPr>
        <w:t>Новоспасском и Карсунском</w:t>
      </w:r>
      <w:r>
        <w:rPr>
          <w:rFonts w:ascii="PT Astra Serif" w:hAnsi="PT Astra Serif"/>
        </w:rPr>
        <w:t xml:space="preserve"> районах.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sz w:val="20"/>
          <w:szCs w:val="20"/>
          <w:highlight w:val="yellow"/>
        </w:rPr>
      </w:pP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spacing w:val="-4"/>
          <w:highlight w:val="yellow"/>
        </w:rPr>
      </w:pPr>
      <w:r>
        <w:rPr>
          <w:rFonts w:ascii="PT Astra Serif" w:hAnsi="PT Astra Serif"/>
          <w:b/>
          <w:spacing w:val="-4"/>
          <w:u w:val="single"/>
          <w:lang w:val="en-US"/>
        </w:rPr>
        <w:t>IV</w:t>
      </w:r>
      <w:r>
        <w:rPr>
          <w:rFonts w:ascii="PT Astra Serif" w:hAnsi="PT Astra Serif"/>
          <w:b/>
          <w:spacing w:val="-4"/>
          <w:u w:val="single"/>
        </w:rPr>
        <w:t>. В блоке «Социальная сфера»</w:t>
      </w:r>
      <w:r>
        <w:rPr>
          <w:rFonts w:ascii="PT Astra Serif" w:hAnsi="PT Astra Serif"/>
          <w:spacing w:val="-4"/>
        </w:rPr>
        <w:t xml:space="preserve"> в </w:t>
      </w:r>
      <w:r>
        <w:rPr>
          <w:rFonts w:ascii="PT Astra Serif" w:hAnsi="PT Astra Serif"/>
          <w:b/>
          <w:i/>
          <w:spacing w:val="-4"/>
        </w:rPr>
        <w:t>Мелекесском, Тереньгульском и Старомайнском районах</w:t>
      </w:r>
      <w:r>
        <w:rPr>
          <w:rFonts w:ascii="PT Astra Serif" w:hAnsi="PT Astra Serif"/>
          <w:b/>
          <w:spacing w:val="-4"/>
        </w:rPr>
        <w:t xml:space="preserve"> </w:t>
      </w:r>
      <w:r>
        <w:rPr>
          <w:rFonts w:ascii="PT Astra Serif" w:hAnsi="PT Astra Serif"/>
          <w:spacing w:val="-4"/>
        </w:rPr>
        <w:t xml:space="preserve">сохраняется самая низкая доля работающих инвалидов трудоспособного возраста – </w:t>
      </w:r>
      <w:r>
        <w:rPr>
          <w:rFonts w:ascii="PT Astra Serif" w:hAnsi="PT Astra Serif"/>
          <w:b/>
          <w:spacing w:val="-4"/>
        </w:rPr>
        <w:t xml:space="preserve">менее 17% </w:t>
      </w:r>
      <w:r>
        <w:rPr>
          <w:rFonts w:ascii="PT Astra Serif" w:hAnsi="PT Astra Serif"/>
          <w:spacing w:val="-4"/>
        </w:rPr>
        <w:t xml:space="preserve">(целевой индикатор по итогам 2019 года </w:t>
      </w:r>
      <w:r>
        <w:rPr>
          <w:rFonts w:ascii="PT Astra Serif" w:hAnsi="PT Astra Serif"/>
          <w:spacing w:val="-4"/>
        </w:rPr>
        <w:noBreakHyphen/>
        <w:t xml:space="preserve"> 29%). </w:t>
      </w:r>
      <w:r>
        <w:rPr>
          <w:rFonts w:ascii="PT Astra Serif" w:hAnsi="PT Astra Serif"/>
          <w:b/>
          <w:spacing w:val="-4"/>
          <w:u w:val="single"/>
        </w:rPr>
        <w:t>По итогам 10 месяцев 2019 года целевое значение не достигается во всех муниципальных образованиях Ульяновской области</w:t>
      </w:r>
      <w:r>
        <w:rPr>
          <w:rFonts w:ascii="PT Astra Serif" w:hAnsi="PT Astra Serif"/>
          <w:spacing w:val="-4"/>
        </w:rPr>
        <w:t xml:space="preserve">, самый высокий уровень </w:t>
      </w:r>
      <w:r>
        <w:rPr>
          <w:rFonts w:ascii="PT Astra Serif" w:hAnsi="PT Astra Serif"/>
          <w:i/>
          <w:spacing w:val="-4"/>
        </w:rPr>
        <w:t>в г. Ульяновске</w:t>
      </w:r>
      <w:r>
        <w:rPr>
          <w:rFonts w:ascii="PT Astra Serif" w:hAnsi="PT Astra Serif"/>
          <w:spacing w:val="-4"/>
        </w:rPr>
        <w:t xml:space="preserve"> (28,2%), </w:t>
      </w:r>
      <w:r>
        <w:rPr>
          <w:rFonts w:ascii="PT Astra Serif" w:hAnsi="PT Astra Serif"/>
          <w:i/>
          <w:spacing w:val="-4"/>
        </w:rPr>
        <w:t>г. Димитровграде</w:t>
      </w:r>
      <w:r>
        <w:rPr>
          <w:rFonts w:ascii="PT Astra Serif" w:hAnsi="PT Astra Serif"/>
          <w:spacing w:val="-4"/>
        </w:rPr>
        <w:t xml:space="preserve"> (26,9%) и Ульяновском районе (26,6%).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План по снижению неформальной занятости хуже всего выполняется в </w:t>
      </w:r>
      <w:r>
        <w:rPr>
          <w:rFonts w:ascii="PT Astra Serif" w:hAnsi="PT Astra Serif"/>
          <w:b/>
          <w:i/>
        </w:rPr>
        <w:t>Новоспасском районе</w:t>
      </w:r>
      <w:r>
        <w:rPr>
          <w:rFonts w:ascii="PT Astra Serif" w:hAnsi="PT Astra Serif"/>
        </w:rPr>
        <w:t xml:space="preserve"> – 42,1% от годового значения. В 21 муниципальном образовании уже выполнен годовой план.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i/>
          <w:spacing w:val="-2"/>
        </w:rPr>
        <w:t>Радищевский район</w:t>
      </w:r>
      <w:r>
        <w:rPr>
          <w:rFonts w:ascii="PT Astra Serif" w:hAnsi="PT Astra Serif"/>
          <w:spacing w:val="-2"/>
        </w:rPr>
        <w:t xml:space="preserve"> занимает последнее место </w:t>
      </w:r>
      <w:r>
        <w:rPr>
          <w:rFonts w:ascii="PT Astra Serif" w:hAnsi="PT Astra Serif"/>
          <w:b/>
          <w:spacing w:val="-2"/>
        </w:rPr>
        <w:t>по уровню зарегистрированной безработицы</w:t>
      </w:r>
      <w:r>
        <w:rPr>
          <w:rFonts w:ascii="PT Astra Serif" w:hAnsi="PT Astra Serif"/>
          <w:spacing w:val="-2"/>
        </w:rPr>
        <w:t xml:space="preserve"> – 0,61%, в 1,5 раза выше среднеобластного значения</w:t>
      </w:r>
      <w:r>
        <w:rPr>
          <w:rFonts w:ascii="PT Astra Serif" w:hAnsi="PT Astra Serif"/>
          <w:b/>
        </w:rPr>
        <w:t>.</w:t>
      </w:r>
      <w:r>
        <w:rPr>
          <w:rFonts w:ascii="PT Astra Serif" w:hAnsi="PT Astra Serif"/>
        </w:rPr>
        <w:t xml:space="preserve"> Самый низкий уровень – в </w:t>
      </w:r>
      <w:r>
        <w:rPr>
          <w:rFonts w:ascii="PT Astra Serif" w:hAnsi="PT Astra Serif"/>
          <w:b/>
          <w:i/>
        </w:rPr>
        <w:t>Новоспасском</w:t>
      </w:r>
      <w:r>
        <w:rPr>
          <w:rFonts w:ascii="PT Astra Serif" w:hAnsi="PT Astra Serif"/>
        </w:rPr>
        <w:t xml:space="preserve"> районе (0,14%).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spacing w:val="-2"/>
          <w:highlight w:val="yellow"/>
        </w:rPr>
      </w:pPr>
      <w:r>
        <w:rPr>
          <w:rFonts w:ascii="PT Astra Serif" w:hAnsi="PT Astra Serif"/>
          <w:spacing w:val="-2"/>
        </w:rPr>
        <w:t xml:space="preserve">В </w:t>
      </w:r>
      <w:r>
        <w:rPr>
          <w:rFonts w:ascii="PT Astra Serif" w:hAnsi="PT Astra Serif"/>
          <w:b/>
          <w:i/>
          <w:spacing w:val="-2"/>
        </w:rPr>
        <w:t>г. Димитровграде, г.</w:t>
      </w:r>
      <w:r>
        <w:rPr>
          <w:rFonts w:ascii="PT Astra Serif" w:hAnsi="PT Astra Serif"/>
          <w:b/>
          <w:i/>
          <w:spacing w:val="-2"/>
          <w:lang w:val="en-US"/>
        </w:rPr>
        <w:t> </w:t>
      </w:r>
      <w:r>
        <w:rPr>
          <w:rFonts w:ascii="PT Astra Serif" w:hAnsi="PT Astra Serif"/>
          <w:b/>
          <w:i/>
          <w:spacing w:val="-2"/>
        </w:rPr>
        <w:t xml:space="preserve">Ульяновске, Вешкаймском и Сенгилеевском районах </w:t>
      </w:r>
      <w:r>
        <w:rPr>
          <w:rFonts w:ascii="PT Astra Serif" w:hAnsi="PT Astra Serif"/>
          <w:spacing w:val="-2"/>
        </w:rPr>
        <w:t>самый высокий уровень преступности. Кроме того, в Вешкаймском районе также продолжается рост уровня преступности, который составил 110,5% к уровню аналогичного периода прошлого года.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i/>
        </w:rPr>
      </w:pPr>
      <w:r>
        <w:rPr>
          <w:rFonts w:ascii="PT Astra Serif" w:hAnsi="PT Astra Serif"/>
        </w:rPr>
        <w:t xml:space="preserve">На последнем месте </w:t>
      </w:r>
      <w:r>
        <w:rPr>
          <w:rFonts w:ascii="PT Astra Serif" w:hAnsi="PT Astra Serif"/>
          <w:b/>
        </w:rPr>
        <w:t>по смертности от ДТП</w:t>
      </w:r>
      <w:r>
        <w:rPr>
          <w:rFonts w:ascii="PT Astra Serif" w:hAnsi="PT Astra Serif"/>
        </w:rPr>
        <w:t xml:space="preserve"> (на 100 тыс. населения) находится </w:t>
      </w:r>
      <w:r>
        <w:rPr>
          <w:rFonts w:ascii="PT Astra Serif" w:hAnsi="PT Astra Serif"/>
          <w:b/>
          <w:i/>
        </w:rPr>
        <w:t>Тереньгульский район</w:t>
      </w:r>
      <w:r>
        <w:rPr>
          <w:rFonts w:ascii="PT Astra Serif" w:hAnsi="PT Astra Serif"/>
        </w:rPr>
        <w:t xml:space="preserve">, где отмечается 9 смертельных случаев (+1 за месяц), и </w:t>
      </w:r>
      <w:r>
        <w:rPr>
          <w:rFonts w:ascii="PT Astra Serif" w:hAnsi="PT Astra Serif"/>
          <w:b/>
          <w:i/>
        </w:rPr>
        <w:t>Старомайнском</w:t>
      </w:r>
      <w:r>
        <w:rPr>
          <w:rFonts w:ascii="PT Astra Serif" w:hAnsi="PT Astra Serif"/>
        </w:rPr>
        <w:t xml:space="preserve"> районе (8 случаев, +2 за месяц). </w:t>
      </w:r>
      <w:r>
        <w:rPr>
          <w:rFonts w:ascii="PT Astra Serif" w:hAnsi="PT Astra Serif"/>
          <w:b/>
        </w:rPr>
        <w:t>Смертность от ДТП отсутствует на дорогах 5 муниципалитетов</w:t>
      </w:r>
      <w:r>
        <w:rPr>
          <w:rFonts w:ascii="PT Astra Serif" w:hAnsi="PT Astra Serif"/>
        </w:rPr>
        <w:t xml:space="preserve">: </w:t>
      </w:r>
      <w:r>
        <w:rPr>
          <w:rFonts w:ascii="PT Astra Serif" w:hAnsi="PT Astra Serif"/>
          <w:i/>
        </w:rPr>
        <w:t>Вешкаймский, Павловский, Старокулаткинский, Базарносызганский районы и г. Новоульяновск.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Демографическая ситуация хуже всего складывается в </w:t>
      </w:r>
      <w:r>
        <w:rPr>
          <w:rFonts w:ascii="PT Astra Serif" w:hAnsi="PT Astra Serif"/>
          <w:b/>
          <w:i/>
        </w:rPr>
        <w:t>Базарносызганском районе</w:t>
      </w:r>
      <w:r>
        <w:rPr>
          <w:rFonts w:ascii="PT Astra Serif" w:hAnsi="PT Astra Serif"/>
          <w:i/>
        </w:rPr>
        <w:t>:</w:t>
      </w:r>
      <w:r>
        <w:rPr>
          <w:rFonts w:ascii="PT Astra Serif" w:hAnsi="PT Astra Serif"/>
        </w:rPr>
        <w:t xml:space="preserve"> снижение рождаемости на 21,1% и рост смертности на 9,9%. В </w:t>
      </w:r>
      <w:r>
        <w:rPr>
          <w:rFonts w:ascii="PT Astra Serif" w:hAnsi="PT Astra Serif"/>
          <w:b/>
          <w:i/>
        </w:rPr>
        <w:t xml:space="preserve">Старокулаткинском районе </w:t>
      </w:r>
      <w:r>
        <w:rPr>
          <w:rFonts w:ascii="PT Astra Serif" w:hAnsi="PT Astra Serif"/>
        </w:rPr>
        <w:t>один из самых</w:t>
      </w:r>
      <w:r>
        <w:rPr>
          <w:rFonts w:ascii="PT Astra Serif" w:hAnsi="PT Astra Serif"/>
          <w:b/>
          <w:i/>
        </w:rPr>
        <w:t xml:space="preserve"> </w:t>
      </w:r>
      <w:r>
        <w:rPr>
          <w:rFonts w:ascii="PT Astra Serif" w:hAnsi="PT Astra Serif"/>
        </w:rPr>
        <w:t xml:space="preserve">низких коэффициентов рождаемости (22 место) и самый высокий коэффициент смертности среди всех муниципалитетов (24 место). 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</w:rPr>
        <w:t xml:space="preserve">В подразделе </w:t>
      </w:r>
      <w:r>
        <w:rPr>
          <w:rFonts w:ascii="PT Astra Serif" w:hAnsi="PT Astra Serif"/>
          <w:b/>
        </w:rPr>
        <w:t>«предоставление государственных и муниципальных услуг в электронной форме»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самая маленькая доля заявлений</w:t>
      </w:r>
      <w:r>
        <w:rPr>
          <w:rFonts w:ascii="PT Astra Serif" w:hAnsi="PT Astra Serif"/>
        </w:rPr>
        <w:t xml:space="preserve"> о предоставлении муниципальных услуг, поданных </w:t>
      </w:r>
      <w:r>
        <w:rPr>
          <w:rFonts w:ascii="PT Astra Serif" w:hAnsi="PT Astra Serif"/>
          <w:b/>
        </w:rPr>
        <w:t>в электронной форме</w:t>
      </w:r>
      <w:r>
        <w:rPr>
          <w:rFonts w:ascii="PT Astra Serif" w:hAnsi="PT Astra Serif"/>
        </w:rPr>
        <w:t xml:space="preserve">, в общем числе заявлений о предоставлении муниципальных услуг (за исключением, поданных через </w:t>
      </w:r>
      <w:r>
        <w:rPr>
          <w:rFonts w:ascii="PT Astra Serif" w:hAnsi="PT Astra Serif"/>
        </w:rPr>
        <w:lastRenderedPageBreak/>
        <w:t xml:space="preserve">ОГКУ «Правительство для граждан») </w:t>
      </w:r>
      <w:r>
        <w:rPr>
          <w:rFonts w:ascii="PT Astra Serif" w:hAnsi="PT Astra Serif"/>
          <w:b/>
        </w:rPr>
        <w:t xml:space="preserve">в </w:t>
      </w:r>
      <w:r>
        <w:rPr>
          <w:rFonts w:ascii="PT Astra Serif" w:hAnsi="PT Astra Serif"/>
          <w:b/>
          <w:i/>
        </w:rPr>
        <w:t>Новоспасском</w:t>
      </w:r>
      <w:r>
        <w:rPr>
          <w:rFonts w:ascii="PT Astra Serif" w:hAnsi="PT Astra Serif"/>
          <w:b/>
        </w:rPr>
        <w:t xml:space="preserve"> (10,5%) и </w:t>
      </w:r>
      <w:r>
        <w:rPr>
          <w:rFonts w:ascii="PT Astra Serif" w:hAnsi="PT Astra Serif"/>
          <w:b/>
          <w:i/>
        </w:rPr>
        <w:t>Ульяновском районах</w:t>
      </w:r>
      <w:r>
        <w:rPr>
          <w:rFonts w:ascii="PT Astra Serif" w:hAnsi="PT Astra Serif"/>
          <w:b/>
        </w:rPr>
        <w:t xml:space="preserve"> (24,6%).</w:t>
      </w:r>
      <w:r>
        <w:rPr>
          <w:rFonts w:ascii="PT Astra Serif" w:hAnsi="PT Astra Serif"/>
        </w:rPr>
        <w:t xml:space="preserve"> Целевое значение, установленное в размере 50% для муниципальных районов, </w:t>
      </w:r>
      <w:r>
        <w:rPr>
          <w:rFonts w:ascii="PT Astra Serif" w:hAnsi="PT Astra Serif"/>
          <w:b/>
          <w:u w:val="single"/>
        </w:rPr>
        <w:t>не выполняется 10 муниципальными образованиями,</w:t>
      </w:r>
      <w:r>
        <w:rPr>
          <w:rFonts w:ascii="PT Astra Serif" w:hAnsi="PT Astra Serif"/>
        </w:rPr>
        <w:t xml:space="preserve"> 70% для городских округов - </w:t>
      </w:r>
      <w:r>
        <w:rPr>
          <w:rFonts w:ascii="PT Astra Serif" w:hAnsi="PT Astra Serif"/>
          <w:b/>
          <w:u w:val="single"/>
        </w:rPr>
        <w:t>не достигают г. Димитровград (52,8%) и г. Новоульяновск (40,8%).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  <w:i/>
        </w:rPr>
      </w:pP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u w:val="single"/>
          <w:lang w:val="en-US"/>
        </w:rPr>
        <w:t>V</w:t>
      </w:r>
      <w:r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 xml:space="preserve">Майнский район </w:t>
      </w:r>
      <w:r>
        <w:rPr>
          <w:rFonts w:ascii="PT Astra Serif" w:hAnsi="PT Astra Serif"/>
        </w:rPr>
        <w:t xml:space="preserve">показывает самые </w:t>
      </w:r>
      <w:r>
        <w:rPr>
          <w:rFonts w:ascii="PT Astra Serif" w:hAnsi="PT Astra Serif"/>
          <w:b/>
        </w:rPr>
        <w:t>низкие темпы роста поголовья всех видов сельскохозяйственных животных в пересчёте на условное поголовье</w:t>
      </w:r>
      <w:r>
        <w:rPr>
          <w:rFonts w:ascii="PT Astra Serif" w:hAnsi="PT Astra Serif"/>
        </w:rPr>
        <w:t xml:space="preserve"> (52,5%).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производству молока наихудший результат показал </w:t>
      </w:r>
      <w:r>
        <w:rPr>
          <w:rFonts w:ascii="PT Astra Serif" w:hAnsi="PT Astra Serif"/>
          <w:b/>
          <w:i/>
        </w:rPr>
        <w:t xml:space="preserve">Карсунский </w:t>
      </w:r>
      <w:r>
        <w:rPr>
          <w:rFonts w:ascii="PT Astra Serif" w:hAnsi="PT Astra Serif"/>
        </w:rPr>
        <w:t>(82,9% к аналогичному периоду прошлого года)</w:t>
      </w:r>
      <w:r>
        <w:rPr>
          <w:rFonts w:ascii="PT Astra Serif" w:hAnsi="PT Astra Serif"/>
          <w:b/>
          <w:i/>
        </w:rPr>
        <w:t xml:space="preserve"> и Новомалыклинский районы </w:t>
      </w:r>
      <w:r>
        <w:rPr>
          <w:rFonts w:ascii="PT Astra Serif" w:hAnsi="PT Astra Serif"/>
        </w:rPr>
        <w:t>(83,4%).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реализации скота и птицы</w:t>
      </w:r>
      <w:r>
        <w:rPr>
          <w:rFonts w:ascii="PT Astra Serif" w:hAnsi="PT Astra Serif"/>
        </w:rPr>
        <w:t xml:space="preserve"> наихудшая ситуация в </w:t>
      </w:r>
      <w:r>
        <w:rPr>
          <w:rFonts w:ascii="PT Astra Serif" w:hAnsi="PT Astra Serif"/>
          <w:b/>
          <w:i/>
        </w:rPr>
        <w:t>Николаевском районе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  <w:b/>
        </w:rPr>
        <w:t>объём реализации снизился на 36,8%.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</w:t>
      </w:r>
      <w:r>
        <w:rPr>
          <w:rFonts w:ascii="PT Astra Serif" w:hAnsi="PT Astra Serif"/>
          <w:b/>
        </w:rPr>
        <w:t>темпам роста валового сбора зерновых и зернобобовых</w:t>
      </w:r>
      <w:r>
        <w:rPr>
          <w:rFonts w:ascii="PT Astra Serif" w:hAnsi="PT Astra Serif"/>
        </w:rPr>
        <w:t xml:space="preserve"> последние места занимают </w:t>
      </w:r>
      <w:r>
        <w:rPr>
          <w:rFonts w:ascii="PT Astra Serif" w:hAnsi="PT Astra Serif"/>
          <w:b/>
          <w:i/>
        </w:rPr>
        <w:t>Тереньгульский и Кузоватовский</w:t>
      </w:r>
      <w:r>
        <w:rPr>
          <w:rFonts w:ascii="PT Astra Serif" w:hAnsi="PT Astra Serif"/>
        </w:rPr>
        <w:t xml:space="preserve"> районы – 75,6% и 72,8% к уровню аналогичного периода прошлого года соответственно.</w:t>
      </w:r>
    </w:p>
    <w:p w:rsidR="00D64FF2" w:rsidRDefault="00D64FF2" w:rsidP="00D64FF2">
      <w:pPr>
        <w:spacing w:line="31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Таким образом, подведённые итоги отражают основные яркие и провальные моменты развития муниципалитетов и в целях улучшения социально-экономической ситуации рекомендуется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7F0D7C" w:rsidRPr="00507379" w:rsidRDefault="007F0D7C" w:rsidP="007A6ACC">
      <w:pPr>
        <w:ind w:firstLine="720"/>
        <w:jc w:val="both"/>
        <w:rPr>
          <w:rFonts w:ascii="PT Astra Serif" w:hAnsi="PT Astra Serif"/>
          <w:b/>
        </w:rPr>
      </w:pPr>
      <w:bookmarkStart w:id="0" w:name="_GoBack"/>
      <w:bookmarkEnd w:id="0"/>
    </w:p>
    <w:p w:rsidR="00EA1BB4" w:rsidRDefault="00EA1BB4" w:rsidP="007A6ACC">
      <w:pPr>
        <w:ind w:firstLine="720"/>
        <w:jc w:val="both"/>
        <w:rPr>
          <w:rFonts w:ascii="PT Astra Serif" w:hAnsi="PT Astra Serif"/>
          <w:b/>
        </w:rPr>
      </w:pPr>
    </w:p>
    <w:p w:rsidR="007A6ACC" w:rsidRPr="00507379" w:rsidRDefault="007A6ACC" w:rsidP="007A6ACC">
      <w:pPr>
        <w:ind w:firstLine="720"/>
        <w:jc w:val="both"/>
        <w:rPr>
          <w:rFonts w:ascii="PT Astra Serif" w:hAnsi="PT Astra Serif"/>
          <w:b/>
        </w:rPr>
      </w:pPr>
    </w:p>
    <w:p w:rsidR="005364F6" w:rsidRPr="00507379" w:rsidRDefault="00A967A3" w:rsidP="007A6ACC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>Генеральн</w:t>
      </w:r>
      <w:r w:rsidR="004E1278" w:rsidRPr="00507379">
        <w:rPr>
          <w:rFonts w:ascii="PT Astra Serif" w:hAnsi="PT Astra Serif"/>
        </w:rPr>
        <w:t>ый</w:t>
      </w:r>
      <w:r w:rsidRPr="00507379">
        <w:rPr>
          <w:rFonts w:ascii="PT Astra Serif" w:hAnsi="PT Astra Serif"/>
        </w:rPr>
        <w:t xml:space="preserve"> директор</w:t>
      </w:r>
    </w:p>
    <w:p w:rsidR="00EA1BB4" w:rsidRPr="00507379" w:rsidRDefault="005364F6" w:rsidP="007A6ACC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 xml:space="preserve">АНО «ЦСИ Ульяновской области» </w:t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625DB1" w:rsidRPr="00507379">
        <w:rPr>
          <w:rFonts w:ascii="PT Astra Serif" w:hAnsi="PT Astra Serif"/>
        </w:rPr>
        <w:t xml:space="preserve">       </w:t>
      </w:r>
      <w:r w:rsidR="004E1278" w:rsidRPr="00507379">
        <w:rPr>
          <w:rFonts w:ascii="PT Astra Serif" w:hAnsi="PT Astra Serif"/>
        </w:rPr>
        <w:t xml:space="preserve">                    </w:t>
      </w:r>
      <w:r w:rsidR="00625DB1" w:rsidRPr="00507379">
        <w:rPr>
          <w:rFonts w:ascii="PT Astra Serif" w:hAnsi="PT Astra Serif"/>
        </w:rPr>
        <w:t xml:space="preserve"> </w:t>
      </w:r>
      <w:r w:rsidR="004E1278" w:rsidRPr="00507379">
        <w:rPr>
          <w:rFonts w:ascii="PT Astra Serif" w:hAnsi="PT Astra Serif"/>
        </w:rPr>
        <w:t>О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В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Асмус</w:t>
      </w:r>
    </w:p>
    <w:p w:rsidR="007F0D7C" w:rsidRDefault="007F0D7C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D64FF2" w:rsidRDefault="00D64FF2" w:rsidP="007A6ACC">
      <w:pPr>
        <w:jc w:val="both"/>
        <w:rPr>
          <w:rFonts w:ascii="PT Astra Serif" w:hAnsi="PT Astra Serif"/>
          <w:sz w:val="20"/>
        </w:rPr>
      </w:pPr>
    </w:p>
    <w:p w:rsidR="006A0DBA" w:rsidRPr="00507379" w:rsidRDefault="004E1278" w:rsidP="007A6ACC">
      <w:pPr>
        <w:jc w:val="both"/>
        <w:rPr>
          <w:rFonts w:ascii="PT Astra Serif" w:hAnsi="PT Astra Serif"/>
          <w:sz w:val="20"/>
        </w:rPr>
      </w:pPr>
      <w:r w:rsidRPr="00507379">
        <w:rPr>
          <w:rFonts w:ascii="PT Astra Serif" w:hAnsi="PT Astra Serif"/>
          <w:sz w:val="20"/>
        </w:rPr>
        <w:t>Газизова</w:t>
      </w:r>
      <w:r w:rsidR="006A0DBA" w:rsidRPr="00507379">
        <w:rPr>
          <w:rFonts w:ascii="PT Astra Serif" w:hAnsi="PT Astra Serif"/>
          <w:sz w:val="20"/>
        </w:rPr>
        <w:t xml:space="preserve"> Ксения Михайловна</w:t>
      </w:r>
    </w:p>
    <w:p w:rsidR="006A0DBA" w:rsidRPr="00507379" w:rsidRDefault="006A0DBA" w:rsidP="007A6ACC">
      <w:pPr>
        <w:jc w:val="both"/>
        <w:rPr>
          <w:rFonts w:ascii="PT Astra Serif" w:hAnsi="PT Astra Serif"/>
          <w:sz w:val="20"/>
        </w:rPr>
      </w:pPr>
      <w:r w:rsidRPr="00507379">
        <w:rPr>
          <w:rFonts w:ascii="PT Astra Serif" w:hAnsi="PT Astra Serif"/>
          <w:sz w:val="20"/>
        </w:rPr>
        <w:t>24</w:t>
      </w:r>
      <w:r w:rsidR="00C1311F" w:rsidRPr="00507379">
        <w:rPr>
          <w:rFonts w:ascii="PT Astra Serif" w:hAnsi="PT Astra Serif"/>
          <w:sz w:val="20"/>
        </w:rPr>
        <w:t>-06-07</w:t>
      </w:r>
    </w:p>
    <w:sectPr w:rsidR="006A0DBA" w:rsidRPr="00507379" w:rsidSect="00333477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98" w:rsidRDefault="00F40698" w:rsidP="00EA1BB4">
      <w:r>
        <w:separator/>
      </w:r>
    </w:p>
  </w:endnote>
  <w:endnote w:type="continuationSeparator" w:id="0">
    <w:p w:rsidR="00F40698" w:rsidRDefault="00F40698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98" w:rsidRDefault="00F40698" w:rsidP="00EA1BB4">
      <w:r>
        <w:separator/>
      </w:r>
    </w:p>
  </w:footnote>
  <w:footnote w:type="continuationSeparator" w:id="0">
    <w:p w:rsidR="00F40698" w:rsidRDefault="00F40698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01" w:rsidRDefault="004E0E01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4FF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pt;height:16pt;visibility:visible" o:bullet="t">
        <v:imagedata r:id="rId1" o:title=""/>
      </v:shape>
    </w:pict>
  </w:numPicBullet>
  <w:numPicBullet w:numPicBulletId="1">
    <w:pict>
      <v:shape id="_x0000_i1039" type="#_x0000_t75" style="width:11pt;height:11pt;visibility:visible;mso-wrap-style:square" o:bullet="t">
        <v:imagedata r:id="rId2" o:title=""/>
      </v:shape>
    </w:pict>
  </w:numPicBullet>
  <w:numPicBullet w:numPicBulletId="2">
    <w:pict>
      <v:shape id="_x0000_i1040" type="#_x0000_t75" style="width:11pt;height:11pt;visibility:visible;mso-wrap-style:square" o:bullet="t">
        <v:imagedata r:id="rId3" o:title=""/>
      </v:shape>
    </w:pict>
  </w:numPicBullet>
  <w:abstractNum w:abstractNumId="0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4025"/>
    <w:rsid w:val="00014665"/>
    <w:rsid w:val="00014CE1"/>
    <w:rsid w:val="000179D2"/>
    <w:rsid w:val="00022C96"/>
    <w:rsid w:val="00023BB2"/>
    <w:rsid w:val="0002728E"/>
    <w:rsid w:val="00030A1D"/>
    <w:rsid w:val="0003491B"/>
    <w:rsid w:val="00047AD1"/>
    <w:rsid w:val="00047EA9"/>
    <w:rsid w:val="00050AC0"/>
    <w:rsid w:val="00050DCC"/>
    <w:rsid w:val="000559A3"/>
    <w:rsid w:val="00055F53"/>
    <w:rsid w:val="00062DC5"/>
    <w:rsid w:val="00062EBD"/>
    <w:rsid w:val="000710B6"/>
    <w:rsid w:val="00071E8E"/>
    <w:rsid w:val="000729CD"/>
    <w:rsid w:val="00072F07"/>
    <w:rsid w:val="0007602E"/>
    <w:rsid w:val="00080820"/>
    <w:rsid w:val="00081850"/>
    <w:rsid w:val="0008517F"/>
    <w:rsid w:val="00085344"/>
    <w:rsid w:val="0009117B"/>
    <w:rsid w:val="000925AA"/>
    <w:rsid w:val="00094B97"/>
    <w:rsid w:val="00095A15"/>
    <w:rsid w:val="00095F56"/>
    <w:rsid w:val="000979CB"/>
    <w:rsid w:val="000A22C7"/>
    <w:rsid w:val="000A494F"/>
    <w:rsid w:val="000A7CC7"/>
    <w:rsid w:val="000B1F9E"/>
    <w:rsid w:val="000B3D57"/>
    <w:rsid w:val="000B58A2"/>
    <w:rsid w:val="000B640B"/>
    <w:rsid w:val="000B66D5"/>
    <w:rsid w:val="000B682F"/>
    <w:rsid w:val="000C135E"/>
    <w:rsid w:val="000C6E85"/>
    <w:rsid w:val="000C7BE4"/>
    <w:rsid w:val="000C7EBB"/>
    <w:rsid w:val="000D2FC7"/>
    <w:rsid w:val="000D7901"/>
    <w:rsid w:val="000D7D8C"/>
    <w:rsid w:val="000E2A45"/>
    <w:rsid w:val="000E332D"/>
    <w:rsid w:val="000E46FB"/>
    <w:rsid w:val="000F36C0"/>
    <w:rsid w:val="000F4B2E"/>
    <w:rsid w:val="000F5EC3"/>
    <w:rsid w:val="000F7160"/>
    <w:rsid w:val="000F7B32"/>
    <w:rsid w:val="00103F7C"/>
    <w:rsid w:val="00105125"/>
    <w:rsid w:val="0011031F"/>
    <w:rsid w:val="0011074B"/>
    <w:rsid w:val="001139B7"/>
    <w:rsid w:val="0011542F"/>
    <w:rsid w:val="00115F8C"/>
    <w:rsid w:val="00117D4E"/>
    <w:rsid w:val="00121AFF"/>
    <w:rsid w:val="0012333A"/>
    <w:rsid w:val="0012348C"/>
    <w:rsid w:val="0012474D"/>
    <w:rsid w:val="001305C8"/>
    <w:rsid w:val="00151CA3"/>
    <w:rsid w:val="00153187"/>
    <w:rsid w:val="00155867"/>
    <w:rsid w:val="001612CE"/>
    <w:rsid w:val="001655FE"/>
    <w:rsid w:val="00177E42"/>
    <w:rsid w:val="0018394C"/>
    <w:rsid w:val="00184ADD"/>
    <w:rsid w:val="00184CB5"/>
    <w:rsid w:val="00190C0A"/>
    <w:rsid w:val="00191E45"/>
    <w:rsid w:val="00193949"/>
    <w:rsid w:val="00196A02"/>
    <w:rsid w:val="00197B5D"/>
    <w:rsid w:val="001A0521"/>
    <w:rsid w:val="001A12F6"/>
    <w:rsid w:val="001A3092"/>
    <w:rsid w:val="001A3D81"/>
    <w:rsid w:val="001A6789"/>
    <w:rsid w:val="001A6A0D"/>
    <w:rsid w:val="001B016A"/>
    <w:rsid w:val="001B0218"/>
    <w:rsid w:val="001B2FCE"/>
    <w:rsid w:val="001B3BA5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7585"/>
    <w:rsid w:val="001E3AAC"/>
    <w:rsid w:val="001E71D8"/>
    <w:rsid w:val="002016CD"/>
    <w:rsid w:val="00203D6C"/>
    <w:rsid w:val="0020515D"/>
    <w:rsid w:val="00205EFF"/>
    <w:rsid w:val="00206565"/>
    <w:rsid w:val="00211C81"/>
    <w:rsid w:val="002139F8"/>
    <w:rsid w:val="00213CAD"/>
    <w:rsid w:val="00217915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B3A1A"/>
    <w:rsid w:val="002B59EB"/>
    <w:rsid w:val="002B59F8"/>
    <w:rsid w:val="002C043A"/>
    <w:rsid w:val="002C253D"/>
    <w:rsid w:val="002C4816"/>
    <w:rsid w:val="002C4859"/>
    <w:rsid w:val="002D5A65"/>
    <w:rsid w:val="002D73A5"/>
    <w:rsid w:val="002E0251"/>
    <w:rsid w:val="002E2504"/>
    <w:rsid w:val="002E5A4B"/>
    <w:rsid w:val="002F05D3"/>
    <w:rsid w:val="002F454A"/>
    <w:rsid w:val="002F535B"/>
    <w:rsid w:val="0030305D"/>
    <w:rsid w:val="00304E14"/>
    <w:rsid w:val="003075C2"/>
    <w:rsid w:val="00307B85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8F0"/>
    <w:rsid w:val="00333250"/>
    <w:rsid w:val="00333477"/>
    <w:rsid w:val="00333794"/>
    <w:rsid w:val="003351F1"/>
    <w:rsid w:val="00336BE6"/>
    <w:rsid w:val="00341C5A"/>
    <w:rsid w:val="003425D6"/>
    <w:rsid w:val="00346631"/>
    <w:rsid w:val="003467E4"/>
    <w:rsid w:val="0034737B"/>
    <w:rsid w:val="00351349"/>
    <w:rsid w:val="00351C4A"/>
    <w:rsid w:val="0036166B"/>
    <w:rsid w:val="00362FCE"/>
    <w:rsid w:val="00373DF7"/>
    <w:rsid w:val="003748AE"/>
    <w:rsid w:val="00382F37"/>
    <w:rsid w:val="003849C5"/>
    <w:rsid w:val="0038730E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6E0E"/>
    <w:rsid w:val="003E3062"/>
    <w:rsid w:val="003E406B"/>
    <w:rsid w:val="003E5A78"/>
    <w:rsid w:val="003F66A2"/>
    <w:rsid w:val="003F6BB6"/>
    <w:rsid w:val="00402168"/>
    <w:rsid w:val="004033DE"/>
    <w:rsid w:val="00403579"/>
    <w:rsid w:val="00403BAE"/>
    <w:rsid w:val="004055ED"/>
    <w:rsid w:val="004057FC"/>
    <w:rsid w:val="00406303"/>
    <w:rsid w:val="0040691C"/>
    <w:rsid w:val="00410C9F"/>
    <w:rsid w:val="0041184C"/>
    <w:rsid w:val="00412589"/>
    <w:rsid w:val="0041392F"/>
    <w:rsid w:val="00415084"/>
    <w:rsid w:val="0042300E"/>
    <w:rsid w:val="004233E8"/>
    <w:rsid w:val="00425376"/>
    <w:rsid w:val="00425E16"/>
    <w:rsid w:val="00425E1E"/>
    <w:rsid w:val="00431AAA"/>
    <w:rsid w:val="00437D15"/>
    <w:rsid w:val="00437E8D"/>
    <w:rsid w:val="00441CA4"/>
    <w:rsid w:val="004453AF"/>
    <w:rsid w:val="00447012"/>
    <w:rsid w:val="00451A09"/>
    <w:rsid w:val="00455F21"/>
    <w:rsid w:val="0045744D"/>
    <w:rsid w:val="0046154D"/>
    <w:rsid w:val="00463FD3"/>
    <w:rsid w:val="00464494"/>
    <w:rsid w:val="004649B6"/>
    <w:rsid w:val="00467E54"/>
    <w:rsid w:val="004701C8"/>
    <w:rsid w:val="00473205"/>
    <w:rsid w:val="00473F81"/>
    <w:rsid w:val="00474E26"/>
    <w:rsid w:val="00475C36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4E7D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7AEE"/>
    <w:rsid w:val="004B7EA4"/>
    <w:rsid w:val="004C4B22"/>
    <w:rsid w:val="004D5491"/>
    <w:rsid w:val="004E074B"/>
    <w:rsid w:val="004E0E01"/>
    <w:rsid w:val="004E1278"/>
    <w:rsid w:val="004E197E"/>
    <w:rsid w:val="004E2226"/>
    <w:rsid w:val="004E3893"/>
    <w:rsid w:val="004E4AF7"/>
    <w:rsid w:val="004F2225"/>
    <w:rsid w:val="004F2F93"/>
    <w:rsid w:val="004F69D4"/>
    <w:rsid w:val="004F715B"/>
    <w:rsid w:val="004F7DC4"/>
    <w:rsid w:val="00501CFD"/>
    <w:rsid w:val="0050433C"/>
    <w:rsid w:val="00505A4C"/>
    <w:rsid w:val="00507379"/>
    <w:rsid w:val="00514F70"/>
    <w:rsid w:val="005214F4"/>
    <w:rsid w:val="00525D45"/>
    <w:rsid w:val="005315C1"/>
    <w:rsid w:val="005338BE"/>
    <w:rsid w:val="005364F6"/>
    <w:rsid w:val="00536844"/>
    <w:rsid w:val="00537139"/>
    <w:rsid w:val="00537A62"/>
    <w:rsid w:val="0054068B"/>
    <w:rsid w:val="0055045F"/>
    <w:rsid w:val="005555B5"/>
    <w:rsid w:val="00562408"/>
    <w:rsid w:val="00565E81"/>
    <w:rsid w:val="005668EA"/>
    <w:rsid w:val="005670DC"/>
    <w:rsid w:val="00571EBA"/>
    <w:rsid w:val="00574313"/>
    <w:rsid w:val="00581C5E"/>
    <w:rsid w:val="00583D51"/>
    <w:rsid w:val="005862C2"/>
    <w:rsid w:val="00592BC6"/>
    <w:rsid w:val="00596525"/>
    <w:rsid w:val="005A075A"/>
    <w:rsid w:val="005A0A40"/>
    <w:rsid w:val="005A12CA"/>
    <w:rsid w:val="005A5617"/>
    <w:rsid w:val="005A6FFD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E2"/>
    <w:rsid w:val="005E1C82"/>
    <w:rsid w:val="005E26FC"/>
    <w:rsid w:val="005F42E3"/>
    <w:rsid w:val="005F53F2"/>
    <w:rsid w:val="00600304"/>
    <w:rsid w:val="00605AB8"/>
    <w:rsid w:val="00607E84"/>
    <w:rsid w:val="00620801"/>
    <w:rsid w:val="00621866"/>
    <w:rsid w:val="0062587A"/>
    <w:rsid w:val="00625DB1"/>
    <w:rsid w:val="00636156"/>
    <w:rsid w:val="00636D43"/>
    <w:rsid w:val="00637304"/>
    <w:rsid w:val="00646D46"/>
    <w:rsid w:val="00646F9E"/>
    <w:rsid w:val="0064717A"/>
    <w:rsid w:val="006476B6"/>
    <w:rsid w:val="00655197"/>
    <w:rsid w:val="006600E2"/>
    <w:rsid w:val="00662083"/>
    <w:rsid w:val="0066388C"/>
    <w:rsid w:val="00674FB9"/>
    <w:rsid w:val="00675227"/>
    <w:rsid w:val="00676CCF"/>
    <w:rsid w:val="0068078F"/>
    <w:rsid w:val="0068340A"/>
    <w:rsid w:val="006857B4"/>
    <w:rsid w:val="0068728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3E11"/>
    <w:rsid w:val="006F5DB1"/>
    <w:rsid w:val="00705FD2"/>
    <w:rsid w:val="00706123"/>
    <w:rsid w:val="00706AD9"/>
    <w:rsid w:val="00706C93"/>
    <w:rsid w:val="00707025"/>
    <w:rsid w:val="007105F1"/>
    <w:rsid w:val="0071420C"/>
    <w:rsid w:val="00717A5E"/>
    <w:rsid w:val="00720D43"/>
    <w:rsid w:val="00724605"/>
    <w:rsid w:val="00726262"/>
    <w:rsid w:val="00730A92"/>
    <w:rsid w:val="007315E1"/>
    <w:rsid w:val="00733074"/>
    <w:rsid w:val="007332BD"/>
    <w:rsid w:val="00737A8A"/>
    <w:rsid w:val="00742186"/>
    <w:rsid w:val="00747919"/>
    <w:rsid w:val="00747A54"/>
    <w:rsid w:val="0075049B"/>
    <w:rsid w:val="007507F6"/>
    <w:rsid w:val="007532D1"/>
    <w:rsid w:val="007539F4"/>
    <w:rsid w:val="0076180E"/>
    <w:rsid w:val="00762DFF"/>
    <w:rsid w:val="00763D29"/>
    <w:rsid w:val="00764B5D"/>
    <w:rsid w:val="007652C4"/>
    <w:rsid w:val="00765BA5"/>
    <w:rsid w:val="00766910"/>
    <w:rsid w:val="00770459"/>
    <w:rsid w:val="00771631"/>
    <w:rsid w:val="0077478F"/>
    <w:rsid w:val="00775B16"/>
    <w:rsid w:val="00782422"/>
    <w:rsid w:val="00785C99"/>
    <w:rsid w:val="0079372F"/>
    <w:rsid w:val="007956A9"/>
    <w:rsid w:val="007A550A"/>
    <w:rsid w:val="007A6ACC"/>
    <w:rsid w:val="007B054C"/>
    <w:rsid w:val="007B58D8"/>
    <w:rsid w:val="007B700F"/>
    <w:rsid w:val="007C26CA"/>
    <w:rsid w:val="007C28B2"/>
    <w:rsid w:val="007C4249"/>
    <w:rsid w:val="007C4682"/>
    <w:rsid w:val="007C6A4A"/>
    <w:rsid w:val="007C7B97"/>
    <w:rsid w:val="007D5D30"/>
    <w:rsid w:val="007E26BF"/>
    <w:rsid w:val="007F0618"/>
    <w:rsid w:val="007F0D7C"/>
    <w:rsid w:val="007F4540"/>
    <w:rsid w:val="007F6B6D"/>
    <w:rsid w:val="008015DD"/>
    <w:rsid w:val="00806248"/>
    <w:rsid w:val="0080761E"/>
    <w:rsid w:val="008105BA"/>
    <w:rsid w:val="00810FAB"/>
    <w:rsid w:val="008139B1"/>
    <w:rsid w:val="008204EF"/>
    <w:rsid w:val="00824F7C"/>
    <w:rsid w:val="00827916"/>
    <w:rsid w:val="00832479"/>
    <w:rsid w:val="00837226"/>
    <w:rsid w:val="00840E38"/>
    <w:rsid w:val="00846645"/>
    <w:rsid w:val="00846778"/>
    <w:rsid w:val="00846B4F"/>
    <w:rsid w:val="008536F1"/>
    <w:rsid w:val="00862CB2"/>
    <w:rsid w:val="008655DB"/>
    <w:rsid w:val="00865AC5"/>
    <w:rsid w:val="0087218A"/>
    <w:rsid w:val="008736DA"/>
    <w:rsid w:val="00891EC6"/>
    <w:rsid w:val="00897D61"/>
    <w:rsid w:val="008A0398"/>
    <w:rsid w:val="008A25C7"/>
    <w:rsid w:val="008A3850"/>
    <w:rsid w:val="008A5C04"/>
    <w:rsid w:val="008B0F14"/>
    <w:rsid w:val="008B4EDA"/>
    <w:rsid w:val="008B5A2F"/>
    <w:rsid w:val="008B795A"/>
    <w:rsid w:val="008B7D01"/>
    <w:rsid w:val="008C198A"/>
    <w:rsid w:val="008C269A"/>
    <w:rsid w:val="008D0363"/>
    <w:rsid w:val="008D09EE"/>
    <w:rsid w:val="008E3DBD"/>
    <w:rsid w:val="008F01DF"/>
    <w:rsid w:val="008F7555"/>
    <w:rsid w:val="00903AF4"/>
    <w:rsid w:val="00906014"/>
    <w:rsid w:val="009066A5"/>
    <w:rsid w:val="00906B2C"/>
    <w:rsid w:val="00907506"/>
    <w:rsid w:val="009102C9"/>
    <w:rsid w:val="00920525"/>
    <w:rsid w:val="00920FCE"/>
    <w:rsid w:val="00923322"/>
    <w:rsid w:val="00924ACB"/>
    <w:rsid w:val="00924E4D"/>
    <w:rsid w:val="0092561B"/>
    <w:rsid w:val="0092629B"/>
    <w:rsid w:val="00927595"/>
    <w:rsid w:val="009333BA"/>
    <w:rsid w:val="009425FD"/>
    <w:rsid w:val="00943D8B"/>
    <w:rsid w:val="00944A78"/>
    <w:rsid w:val="009466E3"/>
    <w:rsid w:val="00947838"/>
    <w:rsid w:val="009506E7"/>
    <w:rsid w:val="00951992"/>
    <w:rsid w:val="009538EF"/>
    <w:rsid w:val="0095512C"/>
    <w:rsid w:val="009552BB"/>
    <w:rsid w:val="0096046A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B00BA"/>
    <w:rsid w:val="009B054C"/>
    <w:rsid w:val="009B0CA6"/>
    <w:rsid w:val="009B5278"/>
    <w:rsid w:val="009B65CC"/>
    <w:rsid w:val="009B7907"/>
    <w:rsid w:val="009C0953"/>
    <w:rsid w:val="009C1899"/>
    <w:rsid w:val="009C58D3"/>
    <w:rsid w:val="009C743F"/>
    <w:rsid w:val="009D239F"/>
    <w:rsid w:val="009D31BC"/>
    <w:rsid w:val="009D745E"/>
    <w:rsid w:val="009E2813"/>
    <w:rsid w:val="009E4736"/>
    <w:rsid w:val="009F2B1E"/>
    <w:rsid w:val="009F3B33"/>
    <w:rsid w:val="00A05697"/>
    <w:rsid w:val="00A074E4"/>
    <w:rsid w:val="00A10158"/>
    <w:rsid w:val="00A1324D"/>
    <w:rsid w:val="00A2019D"/>
    <w:rsid w:val="00A20832"/>
    <w:rsid w:val="00A211A8"/>
    <w:rsid w:val="00A221B1"/>
    <w:rsid w:val="00A223F7"/>
    <w:rsid w:val="00A2356F"/>
    <w:rsid w:val="00A3176D"/>
    <w:rsid w:val="00A32DFC"/>
    <w:rsid w:val="00A335A9"/>
    <w:rsid w:val="00A33F01"/>
    <w:rsid w:val="00A37608"/>
    <w:rsid w:val="00A37762"/>
    <w:rsid w:val="00A41679"/>
    <w:rsid w:val="00A45B8C"/>
    <w:rsid w:val="00A507FF"/>
    <w:rsid w:val="00A5576D"/>
    <w:rsid w:val="00A61DDC"/>
    <w:rsid w:val="00A65347"/>
    <w:rsid w:val="00A73457"/>
    <w:rsid w:val="00A75B43"/>
    <w:rsid w:val="00A824C2"/>
    <w:rsid w:val="00A940B2"/>
    <w:rsid w:val="00A94AF1"/>
    <w:rsid w:val="00A967A3"/>
    <w:rsid w:val="00AA0314"/>
    <w:rsid w:val="00AB199F"/>
    <w:rsid w:val="00AB547E"/>
    <w:rsid w:val="00AB55B3"/>
    <w:rsid w:val="00AC1EC0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7517"/>
    <w:rsid w:val="00B73BAF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68D1"/>
    <w:rsid w:val="00B911EA"/>
    <w:rsid w:val="00B934C7"/>
    <w:rsid w:val="00BA4A1D"/>
    <w:rsid w:val="00BA795E"/>
    <w:rsid w:val="00BB159D"/>
    <w:rsid w:val="00BB4A2A"/>
    <w:rsid w:val="00BB60A7"/>
    <w:rsid w:val="00BB61A0"/>
    <w:rsid w:val="00BB61D4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C10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6B42"/>
    <w:rsid w:val="00C16DD7"/>
    <w:rsid w:val="00C1780C"/>
    <w:rsid w:val="00C23796"/>
    <w:rsid w:val="00C26712"/>
    <w:rsid w:val="00C30A9B"/>
    <w:rsid w:val="00C33F24"/>
    <w:rsid w:val="00C34CF9"/>
    <w:rsid w:val="00C43032"/>
    <w:rsid w:val="00C440A3"/>
    <w:rsid w:val="00C441EB"/>
    <w:rsid w:val="00C451FA"/>
    <w:rsid w:val="00C4562E"/>
    <w:rsid w:val="00C470EC"/>
    <w:rsid w:val="00C52306"/>
    <w:rsid w:val="00C56F6B"/>
    <w:rsid w:val="00C57C27"/>
    <w:rsid w:val="00C61056"/>
    <w:rsid w:val="00C61827"/>
    <w:rsid w:val="00C61C1B"/>
    <w:rsid w:val="00C628AD"/>
    <w:rsid w:val="00C674AA"/>
    <w:rsid w:val="00C75A14"/>
    <w:rsid w:val="00C75CE2"/>
    <w:rsid w:val="00C81C02"/>
    <w:rsid w:val="00C81E09"/>
    <w:rsid w:val="00C85B88"/>
    <w:rsid w:val="00C86E13"/>
    <w:rsid w:val="00C9067D"/>
    <w:rsid w:val="00C96D1B"/>
    <w:rsid w:val="00C9737A"/>
    <w:rsid w:val="00CA0028"/>
    <w:rsid w:val="00CB0C0D"/>
    <w:rsid w:val="00CB2B2A"/>
    <w:rsid w:val="00CC1066"/>
    <w:rsid w:val="00CC2248"/>
    <w:rsid w:val="00CC2337"/>
    <w:rsid w:val="00CC556E"/>
    <w:rsid w:val="00CD20C9"/>
    <w:rsid w:val="00CD5DEA"/>
    <w:rsid w:val="00CD6F39"/>
    <w:rsid w:val="00CE394D"/>
    <w:rsid w:val="00CE66E5"/>
    <w:rsid w:val="00CF088E"/>
    <w:rsid w:val="00CF1E44"/>
    <w:rsid w:val="00CF2B99"/>
    <w:rsid w:val="00CF5B20"/>
    <w:rsid w:val="00CF715D"/>
    <w:rsid w:val="00D117A2"/>
    <w:rsid w:val="00D12773"/>
    <w:rsid w:val="00D13E7B"/>
    <w:rsid w:val="00D17A02"/>
    <w:rsid w:val="00D30AA7"/>
    <w:rsid w:val="00D326CD"/>
    <w:rsid w:val="00D33436"/>
    <w:rsid w:val="00D33755"/>
    <w:rsid w:val="00D33F3C"/>
    <w:rsid w:val="00D34F47"/>
    <w:rsid w:val="00D361B0"/>
    <w:rsid w:val="00D4195B"/>
    <w:rsid w:val="00D44905"/>
    <w:rsid w:val="00D449CC"/>
    <w:rsid w:val="00D54BC1"/>
    <w:rsid w:val="00D54D1B"/>
    <w:rsid w:val="00D55960"/>
    <w:rsid w:val="00D562B9"/>
    <w:rsid w:val="00D6086C"/>
    <w:rsid w:val="00D61C80"/>
    <w:rsid w:val="00D63B6E"/>
    <w:rsid w:val="00D64FF2"/>
    <w:rsid w:val="00D679A0"/>
    <w:rsid w:val="00D70177"/>
    <w:rsid w:val="00D70A82"/>
    <w:rsid w:val="00D70BC9"/>
    <w:rsid w:val="00D7118C"/>
    <w:rsid w:val="00D77784"/>
    <w:rsid w:val="00D8235C"/>
    <w:rsid w:val="00D91308"/>
    <w:rsid w:val="00D93CC9"/>
    <w:rsid w:val="00D9564F"/>
    <w:rsid w:val="00D97BE1"/>
    <w:rsid w:val="00D97E89"/>
    <w:rsid w:val="00DA2DE5"/>
    <w:rsid w:val="00DA3B91"/>
    <w:rsid w:val="00DB018B"/>
    <w:rsid w:val="00DB3533"/>
    <w:rsid w:val="00DC0250"/>
    <w:rsid w:val="00DC043E"/>
    <w:rsid w:val="00DC2304"/>
    <w:rsid w:val="00DC5833"/>
    <w:rsid w:val="00DC7ACE"/>
    <w:rsid w:val="00DD0DBC"/>
    <w:rsid w:val="00DD4530"/>
    <w:rsid w:val="00DD4BA7"/>
    <w:rsid w:val="00DD55FB"/>
    <w:rsid w:val="00DD6F4B"/>
    <w:rsid w:val="00DD74D4"/>
    <w:rsid w:val="00DE2C26"/>
    <w:rsid w:val="00DE3F29"/>
    <w:rsid w:val="00DF05BB"/>
    <w:rsid w:val="00DF138E"/>
    <w:rsid w:val="00DF3CE7"/>
    <w:rsid w:val="00DF5409"/>
    <w:rsid w:val="00DF74F5"/>
    <w:rsid w:val="00E03108"/>
    <w:rsid w:val="00E041B3"/>
    <w:rsid w:val="00E05776"/>
    <w:rsid w:val="00E07F7E"/>
    <w:rsid w:val="00E15779"/>
    <w:rsid w:val="00E1712A"/>
    <w:rsid w:val="00E17964"/>
    <w:rsid w:val="00E209D0"/>
    <w:rsid w:val="00E21F45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AE1"/>
    <w:rsid w:val="00E45B43"/>
    <w:rsid w:val="00E4661D"/>
    <w:rsid w:val="00E47C14"/>
    <w:rsid w:val="00E47FD3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367D"/>
    <w:rsid w:val="00E97E44"/>
    <w:rsid w:val="00EA1BB4"/>
    <w:rsid w:val="00EA2B36"/>
    <w:rsid w:val="00EA68A6"/>
    <w:rsid w:val="00EC0C5F"/>
    <w:rsid w:val="00EC2864"/>
    <w:rsid w:val="00EC3C11"/>
    <w:rsid w:val="00EC751A"/>
    <w:rsid w:val="00ED1C32"/>
    <w:rsid w:val="00ED1CAA"/>
    <w:rsid w:val="00ED5239"/>
    <w:rsid w:val="00EE1560"/>
    <w:rsid w:val="00EE5B91"/>
    <w:rsid w:val="00EE6EC0"/>
    <w:rsid w:val="00EE728A"/>
    <w:rsid w:val="00EF4266"/>
    <w:rsid w:val="00EF7ABE"/>
    <w:rsid w:val="00F029CA"/>
    <w:rsid w:val="00F22847"/>
    <w:rsid w:val="00F2757E"/>
    <w:rsid w:val="00F31845"/>
    <w:rsid w:val="00F336BC"/>
    <w:rsid w:val="00F360B6"/>
    <w:rsid w:val="00F36421"/>
    <w:rsid w:val="00F40698"/>
    <w:rsid w:val="00F40B4A"/>
    <w:rsid w:val="00F41EB4"/>
    <w:rsid w:val="00F51637"/>
    <w:rsid w:val="00F53CD0"/>
    <w:rsid w:val="00F5409A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62F5"/>
    <w:rsid w:val="00FA496D"/>
    <w:rsid w:val="00FA7091"/>
    <w:rsid w:val="00FB052F"/>
    <w:rsid w:val="00FB1FA9"/>
    <w:rsid w:val="00FB2CDD"/>
    <w:rsid w:val="00FC2375"/>
    <w:rsid w:val="00FC7955"/>
    <w:rsid w:val="00FD3862"/>
    <w:rsid w:val="00FD3C46"/>
    <w:rsid w:val="00FD73BC"/>
    <w:rsid w:val="00FD758A"/>
    <w:rsid w:val="00FF2916"/>
    <w:rsid w:val="00FF396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  <w15:docId w15:val="{4DDF4BE4-BBE9-4FF3-A6BC-9EB5892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24F2-B35C-40D7-A4FE-F58BAAE7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10</cp:revision>
  <cp:lastPrinted>2019-10-31T12:46:00Z</cp:lastPrinted>
  <dcterms:created xsi:type="dcterms:W3CDTF">2019-07-29T07:07:00Z</dcterms:created>
  <dcterms:modified xsi:type="dcterms:W3CDTF">2019-12-05T06:02:00Z</dcterms:modified>
</cp:coreProperties>
</file>