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DD" w:rsidRPr="00E175DD" w:rsidRDefault="00E175DD" w:rsidP="00E17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E175D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Информация </w:t>
      </w:r>
    </w:p>
    <w:p w:rsidR="00E175DD" w:rsidRDefault="00E175DD" w:rsidP="00E17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E175D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исполнению «майских указов</w:t>
      </w:r>
      <w:r w:rsidRPr="00E175D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» </w:t>
      </w:r>
    </w:p>
    <w:p w:rsidR="00E175DD" w:rsidRPr="00E175DD" w:rsidRDefault="00E175DD" w:rsidP="00E17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175D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территории Мелекесского района</w:t>
      </w:r>
    </w:p>
    <w:p w:rsidR="00E175DD" w:rsidRPr="00E175DD" w:rsidRDefault="00E175DD" w:rsidP="00E17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175DD" w:rsidRPr="00E175DD" w:rsidRDefault="00E175DD" w:rsidP="00E175DD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В день вступления в должность Президента России, Владимир Путин 7 мая 2012 года подписал 11 Указов об экономической, социальной, демографической политике, совершенствовании здравоохранения, мерах по реализации государственной политики в области образования и науки, о доступном жилье и качестве услуг ЖКХ. </w:t>
      </w:r>
    </w:p>
    <w:p w:rsidR="00E175DD" w:rsidRPr="00E175DD" w:rsidRDefault="00E175DD" w:rsidP="00E175DD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   </w:t>
      </w:r>
      <w:proofErr w:type="gramStart"/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был</w:t>
      </w: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опре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делен вектор развития и </w:t>
      </w: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точки роста на ближайшие 6 лет.</w:t>
      </w:r>
      <w:proofErr w:type="gramEnd"/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Для страны в целом,  для каждого региона и муниципалитетов,  в частности.</w:t>
      </w:r>
    </w:p>
    <w:p w:rsidR="00E175DD" w:rsidRPr="00E175DD" w:rsidRDefault="00E175DD" w:rsidP="00E175DD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  В этих указах Глава государства утвердил конкретные целевые показатели, они касаются уровня жизни населения, здоровья граждан, повышения заработной платы работников бюджетной сферы.</w:t>
      </w:r>
    </w:p>
    <w:p w:rsidR="00E175DD" w:rsidRPr="00E175DD" w:rsidRDefault="00E175DD" w:rsidP="00E175DD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lang w:eastAsia="ru-RU"/>
        </w:rPr>
      </w:pPr>
      <w:r w:rsidRPr="00E175DD"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lang w:eastAsia="ru-RU"/>
        </w:rPr>
        <w:t>Президент В.В.Путин сказал: «Реализация указов – это безусловный приоритет для всей нашей работы, для Правительства, в том числе для ведомств, для всех уровней власти. Главное-работа на реальные результаты, работа в интересах граждан страны, разумеется не ради отчетов, не ради бумаг».</w:t>
      </w:r>
    </w:p>
    <w:p w:rsidR="00E175DD" w:rsidRPr="00E175DD" w:rsidRDefault="00E175DD" w:rsidP="00E175DD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      В целях реализации указов было определено 218 поручений. На областном уровне ежеквартально подводятся итоги реализации поручений,  в том числе и по муниципальным образованиям.</w:t>
      </w:r>
    </w:p>
    <w:p w:rsidR="00E175DD" w:rsidRPr="00E175DD" w:rsidRDefault="00E175DD" w:rsidP="00E175DD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Н</w:t>
      </w: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еобходимым условием для решения многих задач, поставленных «майскими указами»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является</w:t>
      </w: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 развитие реального сектора экономики на основе  стратегии развития и проводимой инвестиционной политики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lang w:eastAsia="ru-RU"/>
        </w:rPr>
        <w:t>. Указ</w:t>
      </w:r>
      <w:r w:rsidRPr="00E175DD"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lang w:eastAsia="ru-RU"/>
        </w:rPr>
        <w:t xml:space="preserve"> Президента №596 «О долгосрочной государственной экономической политике», который определяет целевые показатели инвестиций, уровня оплаты труда, динамики создания новых рабочих мест, в том числе и высокопроизводительных. </w:t>
      </w:r>
    </w:p>
    <w:p w:rsidR="00E175DD" w:rsidRPr="00E175DD" w:rsidRDefault="00E175DD" w:rsidP="00E175DD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В районе Решением Советов Д</w:t>
      </w: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путатов утверждена Стратегия социально-экономического развития</w:t>
      </w: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района до 2030 года, прошедшая общественное обсуждение и рассмотренная на ряде крупных и средних предприятий района.</w:t>
      </w:r>
    </w:p>
    <w:p w:rsidR="00E175DD" w:rsidRPr="00E175DD" w:rsidRDefault="00E175DD" w:rsidP="00E175DD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По итогам 5 мес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.</w:t>
      </w: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текущего года в хозяйствующих субъектах района создано 126 новых рабочих мест  из них 38 высокопроизводительные  с уровнем оплаты труда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от </w:t>
      </w: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19.8 тыс</w:t>
      </w:r>
      <w:proofErr w:type="gramStart"/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уб. На крупных и средних пред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приятиях района занято 3700 чел.</w:t>
      </w: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, среднемесячная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заработная плата 22.1 тыс.руб.</w:t>
      </w: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, темп роста к уровню 2016г- 111.3%. Задолженности по выплате заработной платы в районе не имеется. Капитальные вложения в развитие предприятий составили 62.3 млн</w:t>
      </w:r>
      <w:proofErr w:type="gramStart"/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уб.</w:t>
      </w:r>
    </w:p>
    <w:p w:rsidR="00E175DD" w:rsidRPr="00E175DD" w:rsidRDefault="00E175DD" w:rsidP="00E175DD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Однак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о</w:t>
      </w:r>
      <w:proofErr w:type="gramStart"/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имеются определенные проблемы, которые предстоит решить в рамках реализации Стратеги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и развития района до 2030 года</w:t>
      </w: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:</w:t>
      </w:r>
    </w:p>
    <w:p w:rsidR="00E175DD" w:rsidRPr="00E175DD" w:rsidRDefault="00E175DD" w:rsidP="00E175DD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- на сегодня официально зарегистрированных безработных в районе 53 чел, наивысший уровень безработицы 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МО «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Старосахчинское</w:t>
      </w:r>
      <w:proofErr w:type="spellEnd"/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с.п.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»</w:t>
      </w: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-</w:t>
      </w: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0.76 ,  в </w:t>
      </w: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lastRenderedPageBreak/>
        <w:t>среднем по району 0.30 по Ульяновской области 0.53%. Наибольшая проблема с которой сталкивается население это недостаточное количество рабочих мест с достойной оплатой труда, выполнение работы без оформления трудового договора;</w:t>
      </w:r>
    </w:p>
    <w:p w:rsidR="00E175DD" w:rsidRPr="00E175DD" w:rsidRDefault="00E175DD" w:rsidP="00E175DD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-определенные неудобства в семейной жизни создает работа «вахтовым методом», 897 чел района трудятся за пределами Ульяновской области.</w:t>
      </w:r>
    </w:p>
    <w:p w:rsidR="00E175DD" w:rsidRPr="00E175DD" w:rsidRDefault="00E175DD" w:rsidP="00E175DD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Для поэтапного решения вопросов принят «План  первоочередных действий в экономике  Мелекесского района  на 2017 год», в котором расписаны мероприятия, ресурсы, ответственные исполнители.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В целях реализации данного плана ведутся работы по ремонту дорог, в стадии разработки находится проектно-сметная документация на «Строительство внутрипоселкового газопровода среднего и низкого давления</w:t>
      </w:r>
      <w:r w:rsidR="0008358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в селах Лесная Васильевка, </w:t>
      </w:r>
      <w:proofErr w:type="spellStart"/>
      <w:r w:rsidR="0008358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Тинарка</w:t>
      </w:r>
      <w:proofErr w:type="spellEnd"/>
      <w:r w:rsidR="0008358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, Хмелевка». По направлению сфера деятельности культура, реализуется проект  по ремонту </w:t>
      </w:r>
      <w:proofErr w:type="spellStart"/>
      <w:r w:rsidR="0008358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Мулловского</w:t>
      </w:r>
      <w:proofErr w:type="spellEnd"/>
      <w:r w:rsidR="0008358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Дома культуры на общую сумму свыше 10.0 млн</w:t>
      </w:r>
      <w:proofErr w:type="gramStart"/>
      <w:r w:rsidR="0008358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="0008358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уб.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В проектах, подготовленных на основе </w:t>
      </w:r>
      <w:r w:rsidR="0008358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«М</w:t>
      </w: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естных инициатив</w:t>
      </w:r>
      <w:r w:rsidR="0008358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»</w:t>
      </w: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в 2017 году участвует 5 поселений: </w:t>
      </w:r>
      <w:proofErr w:type="spellStart"/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Новомайн</w:t>
      </w:r>
      <w:r w:rsidR="0008358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ское</w:t>
      </w:r>
      <w:proofErr w:type="spellEnd"/>
      <w:r w:rsidR="0008358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,  </w:t>
      </w:r>
      <w:proofErr w:type="spellStart"/>
      <w:r w:rsidR="0008358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Новоселкинское</w:t>
      </w:r>
      <w:proofErr w:type="spellEnd"/>
      <w:r w:rsidR="0008358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08358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Тиинское</w:t>
      </w:r>
      <w:proofErr w:type="spellEnd"/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Лебяжинское</w:t>
      </w:r>
      <w:proofErr w:type="spellEnd"/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по ремонту Домов культуры  и </w:t>
      </w:r>
      <w:proofErr w:type="spellStart"/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Николочеремшанский</w:t>
      </w:r>
      <w:proofErr w:type="spellEnd"/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по благоустройству дороги. </w:t>
      </w:r>
      <w:r w:rsidR="0008358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С о</w:t>
      </w: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бластного бюджета </w:t>
      </w:r>
      <w:r w:rsidR="0008358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в текущем году </w:t>
      </w: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на модернизацию неэффективных теплоисточников  </w:t>
      </w:r>
      <w:r w:rsidR="0008358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района предусмотрено выделить </w:t>
      </w: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12.0 </w:t>
      </w:r>
      <w:proofErr w:type="spellStart"/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млн</w:t>
      </w:r>
      <w:proofErr w:type="gramStart"/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уб</w:t>
      </w:r>
      <w:proofErr w:type="spellEnd"/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, </w:t>
      </w:r>
    </w:p>
    <w:p w:rsidR="00E175DD" w:rsidRPr="00E175DD" w:rsidRDefault="00E175DD" w:rsidP="00E175DD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lang w:eastAsia="ru-RU"/>
        </w:rPr>
      </w:pP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      В части, исполнения «майских указов</w:t>
      </w:r>
      <w:r w:rsidRPr="00E175DD"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lang w:eastAsia="ru-RU"/>
        </w:rPr>
        <w:t xml:space="preserve">»  № 597 «О мероприятиях по реализации государственной социальной политики» и № 599 «О мерах по реализации государственной политики в области образования и науки» поставлена задача на 2017 год в доведении уровня средней  заработной платы отдельных категорий работников бюджетного сектора экономики к </w:t>
      </w:r>
      <w:r w:rsidR="00083582"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lang w:eastAsia="ru-RU"/>
        </w:rPr>
        <w:t>доходу от трудовой деятельности</w:t>
      </w:r>
      <w:proofErr w:type="gramStart"/>
      <w:r w:rsidR="00083582"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175DD"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E175DD"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lang w:eastAsia="ru-RU"/>
        </w:rPr>
        <w:t xml:space="preserve"> равному 24220 руб.</w:t>
      </w:r>
    </w:p>
    <w:p w:rsidR="00E175DD" w:rsidRPr="00E175DD" w:rsidRDefault="00E175DD" w:rsidP="00E175DD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Согласно статистических данных  уровень средней заработной платы: </w:t>
      </w:r>
    </w:p>
    <w:p w:rsidR="00E175DD" w:rsidRPr="00E175DD" w:rsidRDefault="00E175DD" w:rsidP="00E175DD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-педагогических работников образовательных учреждений общего образования по району за 1кв 2017 г составил 22430.7 </w:t>
      </w:r>
      <w:proofErr w:type="spellStart"/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руб</w:t>
      </w:r>
      <w:proofErr w:type="spellEnd"/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, областной показатель на муниципальном уровне 23641.5 руб.;</w:t>
      </w:r>
    </w:p>
    <w:p w:rsidR="00E175DD" w:rsidRPr="00E175DD" w:rsidRDefault="00E175DD" w:rsidP="00E175DD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-педагогические работники дошкольных образовательных учреждений 20126.1руб.;</w:t>
      </w:r>
    </w:p>
    <w:p w:rsidR="00E175DD" w:rsidRPr="00E175DD" w:rsidRDefault="00E175DD" w:rsidP="00E175DD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-работников учреждений культуры 12901.3, областной показатель на муниципальном уровне 13694.9руб.;</w:t>
      </w:r>
    </w:p>
    <w:p w:rsidR="00E175DD" w:rsidRPr="00E175DD" w:rsidRDefault="00E175DD" w:rsidP="00E175DD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В настоящее время на уровне района, проводится расчет по суммам необходимым для выполнения установленного целевого показателя на 2017 год, ориентировочная сумма дополнительных средств составляет только в сфере общего образования 20.0млн</w:t>
      </w:r>
      <w:proofErr w:type="gramStart"/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уб.</w:t>
      </w:r>
    </w:p>
    <w:p w:rsidR="00E175DD" w:rsidRPr="00E175DD" w:rsidRDefault="00E175DD" w:rsidP="00E175DD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lang w:eastAsia="ru-RU"/>
        </w:rPr>
      </w:pP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      На постоянном личном контроле Главы администрации </w:t>
      </w:r>
      <w:r w:rsidR="0008358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района </w:t>
      </w: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находится вопрос  доступности дошкольного образования. Мелекесский район </w:t>
      </w: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полностью выполнил майский Указ Президента о предоставлении дошкольных образовательных услуг детям от трёх лет уже к концу 2015 года. </w:t>
      </w: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На сегодня  на очереди  стоит 388 детей (от 0до 3 лет), очередность детей в возрасте от 3до 7 лет -27 детей, по мере комплектования места  в садик </w:t>
      </w: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lastRenderedPageBreak/>
        <w:t>предоставляются</w:t>
      </w:r>
      <w:r w:rsidRPr="00E175DD"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lang w:eastAsia="ru-RU"/>
        </w:rPr>
        <w:t>. По итогам 2016 года доступность дошкольного образования для детей в возрасте от 3 до 7 лет составляет 100%.</w:t>
      </w:r>
    </w:p>
    <w:p w:rsidR="00E175DD" w:rsidRPr="00E175DD" w:rsidRDefault="00E175DD" w:rsidP="00E175DD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       В  числе целевых показателей  находится  возможность детей в возрасте от 5 до 18 </w:t>
      </w:r>
      <w:r w:rsidR="0008358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лет</w:t>
      </w: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r w:rsidR="00083582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получить дополнительное </w:t>
      </w:r>
      <w:proofErr w:type="gramStart"/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обучение  по</w:t>
      </w:r>
      <w:proofErr w:type="gramEnd"/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образовательным программам. Всего по итогам 2016 года  от общего количества детей данной возрастной категории 3810 чел 76.9% получают дополнительное образовани</w:t>
      </w:r>
      <w:r w:rsidR="00F80D84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е на базе детских школ искусств,</w:t>
      </w: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Дома творчества.</w:t>
      </w:r>
    </w:p>
    <w:p w:rsidR="00E175DD" w:rsidRPr="00E175DD" w:rsidRDefault="00E175DD" w:rsidP="00E175DD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      </w:t>
      </w:r>
    </w:p>
    <w:p w:rsidR="00E175DD" w:rsidRPr="00E175DD" w:rsidRDefault="00E175DD" w:rsidP="00E175DD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       На областном </w:t>
      </w:r>
      <w:r w:rsidRPr="00E17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Форуме «Реальные дела», посвящённого наиболее важным стратегическим ориентирам, были рассмотрены параметры исполнения указов Президента. </w:t>
      </w:r>
      <w:r w:rsidRPr="00E175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На дискуссионной площадке «Здоровое будущее» эксперты подвели итоги реализации Указов Президента Владимира Путина </w:t>
      </w:r>
      <w:r w:rsidRPr="00E175DD"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lang w:eastAsia="ru-RU"/>
        </w:rPr>
        <w:t>Указ №598 «О мерах по реализации демографической политики Российской Федерации» и Указ №606 «О совершенствовании государственной политики в сфере здравоохранения».</w:t>
      </w:r>
    </w:p>
    <w:p w:rsidR="00E175DD" w:rsidRPr="00E175DD" w:rsidRDefault="00E175DD" w:rsidP="00E175DD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В  нашей области под руководством Губернатора Сергея Морозова реализуется большое количество мероприятий, направленных на поддержку семей с детьми. В него входят единовременные выплаты при рождении детей, региональный капитал «Семья», услуга «социальный контракт», продовольственная социальная карта, набор ежегодных и ежемесячных пособий на детей. В рамках реализации майских Указов Президента России нуждающимся в поддержке семьям, в которых родился третий или последующий ребёнок, до достижения им возраста трёх лет предоставляется ежемесячная денежная выплата. </w:t>
      </w:r>
    </w:p>
    <w:p w:rsidR="00F80D84" w:rsidRDefault="00E175DD" w:rsidP="00E175DD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На уровне нашего района</w:t>
      </w:r>
      <w:r w:rsidR="00F80D84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вышеперечисленные меры поддержки нашли широкое применение и одобрение у населения. </w:t>
      </w:r>
    </w:p>
    <w:p w:rsidR="00E175DD" w:rsidRPr="00E175DD" w:rsidRDefault="00F80D84" w:rsidP="00E175DD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r w:rsidR="00E175DD"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Актуальной остается в районе тема, снижение смертности </w:t>
      </w:r>
      <w:r w:rsidR="00E175DD"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от заболевания системы кровообращения, туберкулеза.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r w:rsidR="00E175DD"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За отчетный 2016 год удалось снизить показатель смертность от новообразований, в текущем году не допущено случаев младенческой смертности детей до 1 года. </w:t>
      </w:r>
    </w:p>
    <w:p w:rsidR="00E175DD" w:rsidRPr="00E175DD" w:rsidRDefault="00F80D84" w:rsidP="00E175DD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E175DD"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В целях реализации данных указов, особое внимание в районе уделяется  мероприятиям, направленным  на снижение смертности населения от различных видов заболеваний и повышение показателя рождаемости.</w:t>
      </w:r>
    </w:p>
    <w:p w:rsidR="00E175DD" w:rsidRPr="00E175DD" w:rsidRDefault="00E175DD" w:rsidP="00E175DD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С начала года на территории района  на 7 июня зарегистрировано:</w:t>
      </w:r>
    </w:p>
    <w:p w:rsidR="00E175DD" w:rsidRPr="00E175DD" w:rsidRDefault="00E175DD" w:rsidP="00E175DD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- 127 </w:t>
      </w:r>
      <w:r w:rsidR="00F80D84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случаев рождения  (</w:t>
      </w: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ниже уровня 2016 г на 11 детей);</w:t>
      </w:r>
    </w:p>
    <w:p w:rsidR="00E175DD" w:rsidRPr="00E175DD" w:rsidRDefault="00E175DD" w:rsidP="00E175DD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-</w:t>
      </w:r>
      <w:r w:rsidR="00F80D84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случаев смерти 283 (</w:t>
      </w: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выше уровня 2016 года на 14 случаев).</w:t>
      </w:r>
    </w:p>
    <w:p w:rsidR="00E175DD" w:rsidRPr="00E175DD" w:rsidRDefault="00F80D84" w:rsidP="00E175DD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E175DD"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Одной из важнейших мер направленных на поддержание здоровья  является содействие в организации проведения диспансеризации насе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ления района, как первого этапа</w:t>
      </w:r>
      <w:r w:rsidR="00E175DD"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по выявлению факторов риска заболеваний.  По итогам 4 мес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.</w:t>
      </w:r>
      <w:r w:rsidR="00E175DD"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2017 года осмотрено 1916 чел или 32 % от населения, подлежащего диспансеризации в 2017 году.</w:t>
      </w:r>
    </w:p>
    <w:p w:rsidR="00E175DD" w:rsidRPr="00E175DD" w:rsidRDefault="00E175DD" w:rsidP="00E175DD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За прошедший год  в районе значительно снизилась смертность от ДТП д</w:t>
      </w:r>
      <w:r w:rsidR="00F80D84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о 7.6 случаев на 100 тыс</w:t>
      </w: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.</w:t>
      </w:r>
      <w:r w:rsidR="00F80D84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населения, по итогам 2015 года количество случаев составляло 19.6. </w:t>
      </w:r>
    </w:p>
    <w:p w:rsidR="00F80D84" w:rsidRPr="00E175DD" w:rsidRDefault="00F80D84" w:rsidP="00F80D84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lang w:eastAsia="ru-RU"/>
        </w:rPr>
        <w:lastRenderedPageBreak/>
        <w:t xml:space="preserve">       Ежегодно в Ульяновской области, проходит областной Агитпоезд мероприятия, которого направлены на сохранение семейных ценностей, повышение рождаемости, снижение смертности, формирование здорового образа жизни. </w:t>
      </w:r>
      <w:r w:rsidRPr="00E175DD"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lang w:eastAsia="ru-RU"/>
        </w:rPr>
        <w:t xml:space="preserve">Данный проект реализуется 11 год на территории 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lang w:eastAsia="ru-RU"/>
        </w:rPr>
        <w:t xml:space="preserve">Ульяновской </w:t>
      </w:r>
      <w:r w:rsidRPr="00E175DD"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lang w:eastAsia="ru-RU"/>
        </w:rPr>
        <w:t>области по инициативе Губернатора С.И.Морозова.</w:t>
      </w:r>
    </w:p>
    <w:p w:rsidR="00F80D84" w:rsidRDefault="00E175DD" w:rsidP="00E175DD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E175DD"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lang w:eastAsia="ru-RU"/>
        </w:rPr>
        <w:t>В целях  выполнения мероприятий данных указов 14 июн</w:t>
      </w:r>
      <w:r w:rsidR="00F80D84"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lang w:eastAsia="ru-RU"/>
        </w:rPr>
        <w:t>я на территории района пройдет о</w:t>
      </w:r>
      <w:r w:rsidRPr="00E175DD"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lang w:eastAsia="ru-RU"/>
        </w:rPr>
        <w:t>бластной Агитпоезд «За здоровый образ жизни и счастливую семью».</w:t>
      </w:r>
    </w:p>
    <w:p w:rsidR="00E175DD" w:rsidRPr="00050701" w:rsidRDefault="00F80D84" w:rsidP="00050701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E175DD"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r w:rsidR="00E175DD" w:rsidRPr="00F80D84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Указ Президента №600 « О мерах по обеспечению граждан РФ доступным и комфортным жильем и повышению качества жилищно-коммунальных услуг»</w:t>
      </w:r>
      <w:r w:rsidRPr="00F80D84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. </w:t>
      </w:r>
      <w:r w:rsidR="00E175DD" w:rsidRPr="00F80D84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показатели строительной деятельности </w:t>
      </w:r>
      <w:r w:rsidR="00E175DD" w:rsidRPr="00F80D84">
        <w:rPr>
          <w:rFonts w:ascii="Times New Roman" w:hAnsi="Times New Roman" w:cs="Times New Roman"/>
          <w:sz w:val="28"/>
          <w:szCs w:val="28"/>
        </w:rPr>
        <w:t xml:space="preserve">- индекс физического объема к соответствующему периоду прошлого года составляет 114.8% </w:t>
      </w:r>
      <w:r w:rsidR="00E175DD" w:rsidRPr="00050701">
        <w:rPr>
          <w:rFonts w:ascii="Times New Roman" w:hAnsi="Times New Roman" w:cs="Times New Roman"/>
          <w:sz w:val="28"/>
          <w:szCs w:val="28"/>
        </w:rPr>
        <w:t>.</w:t>
      </w:r>
      <w:r w:rsidR="00050701" w:rsidRPr="00050701">
        <w:rPr>
          <w:rFonts w:ascii="Times New Roman" w:hAnsi="Times New Roman" w:cs="Times New Roman"/>
          <w:sz w:val="28"/>
          <w:szCs w:val="28"/>
        </w:rPr>
        <w:t xml:space="preserve"> </w:t>
      </w:r>
      <w:r w:rsidR="00E175DD" w:rsidRPr="00050701">
        <w:rPr>
          <w:rFonts w:ascii="Times New Roman" w:hAnsi="Times New Roman" w:cs="Times New Roman"/>
          <w:sz w:val="28"/>
          <w:szCs w:val="28"/>
        </w:rPr>
        <w:t>Ввод в действие жилых домов имеет положительную статистическую отчетность, по итогам 4 мес. данный показатель, согласно заключенному Соглашению - 6607 кв.м. жилья или 100% к уровню прошлого года. На уровне района, с начала года введено в эксплуатацию 91 квартира, в т.ч. индивидуальными застройщиками 47ед. жилья. В 2016 году  по областной адресной программе «Переселение граждан, проживающих на территории Ульяновской области, из аварийного жилищного фонда в 2014-2018 годах» построено и введено в эксплуатацию 2 МКЖД п.</w:t>
      </w:r>
      <w:r w:rsidR="00050701">
        <w:rPr>
          <w:rFonts w:ascii="Times New Roman" w:hAnsi="Times New Roman" w:cs="Times New Roman"/>
          <w:sz w:val="28"/>
          <w:szCs w:val="28"/>
        </w:rPr>
        <w:t xml:space="preserve"> </w:t>
      </w:r>
      <w:r w:rsidR="00E175DD" w:rsidRPr="00050701">
        <w:rPr>
          <w:rFonts w:ascii="Times New Roman" w:hAnsi="Times New Roman" w:cs="Times New Roman"/>
          <w:sz w:val="28"/>
          <w:szCs w:val="28"/>
        </w:rPr>
        <w:t>Новоселки 792 кв</w:t>
      </w:r>
      <w:proofErr w:type="gramStart"/>
      <w:r w:rsidR="00E175DD" w:rsidRPr="0005070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175DD" w:rsidRPr="00050701">
        <w:rPr>
          <w:rFonts w:ascii="Times New Roman" w:hAnsi="Times New Roman" w:cs="Times New Roman"/>
          <w:sz w:val="28"/>
          <w:szCs w:val="28"/>
        </w:rPr>
        <w:t xml:space="preserve"> и р.п.</w:t>
      </w:r>
      <w:r w:rsidR="00050701">
        <w:rPr>
          <w:rFonts w:ascii="Times New Roman" w:hAnsi="Times New Roman" w:cs="Times New Roman"/>
          <w:sz w:val="28"/>
          <w:szCs w:val="28"/>
        </w:rPr>
        <w:t xml:space="preserve"> </w:t>
      </w:r>
      <w:r w:rsidR="00E175DD" w:rsidRPr="00050701">
        <w:rPr>
          <w:rFonts w:ascii="Times New Roman" w:hAnsi="Times New Roman" w:cs="Times New Roman"/>
          <w:sz w:val="28"/>
          <w:szCs w:val="28"/>
        </w:rPr>
        <w:t>Новая Майна 864 кв.м.</w:t>
      </w:r>
    </w:p>
    <w:p w:rsidR="00E175DD" w:rsidRPr="00E175DD" w:rsidRDefault="00E175DD" w:rsidP="00E17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175DD">
        <w:rPr>
          <w:rFonts w:ascii="Times New Roman" w:hAnsi="Times New Roman" w:cs="Times New Roman"/>
          <w:b/>
          <w:sz w:val="28"/>
          <w:szCs w:val="28"/>
        </w:rPr>
        <w:t>Указ Президента РФ № 601 « Об основных направлениях совершенствования государственного управления».</w:t>
      </w:r>
      <w:r w:rsidRPr="00E175DD">
        <w:rPr>
          <w:rFonts w:ascii="Times New Roman" w:hAnsi="Times New Roman" w:cs="Times New Roman"/>
          <w:sz w:val="28"/>
          <w:szCs w:val="28"/>
        </w:rPr>
        <w:t xml:space="preserve"> </w:t>
      </w:r>
      <w:r w:rsidR="00050701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В</w:t>
      </w:r>
      <w:r w:rsidRPr="00E175D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2015 году Ульяновская область выполнила поставленную в майском Указе Президента РФ задачу по обеспечению доступа не менее 90% населения к получению государственных и муниципальных услуг по принципу «одного окна». Благодаря работе сети МФЦ 96% жителей региона имеют такую возможность. </w:t>
      </w:r>
      <w:r w:rsidRPr="00E175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районе проведена большая работа по  обеспечению возможности для  граждан, использовать механизм получения государственных и муниципальных услуг в электронной форме, к 2018 году - не менее 70 процентов, на текущую дату это </w:t>
      </w:r>
      <w:r w:rsidR="000507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3285 </w:t>
      </w:r>
      <w:r w:rsidRPr="00E175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чел.;</w:t>
      </w:r>
    </w:p>
    <w:p w:rsidR="00E175DD" w:rsidRPr="00E175DD" w:rsidRDefault="00E175DD" w:rsidP="00E175DD">
      <w:pPr>
        <w:pStyle w:val="a3"/>
        <w:spacing w:after="0"/>
        <w:jc w:val="both"/>
        <w:rPr>
          <w:sz w:val="28"/>
          <w:szCs w:val="28"/>
        </w:rPr>
      </w:pPr>
      <w:r w:rsidRPr="00E175DD">
        <w:rPr>
          <w:b/>
          <w:sz w:val="28"/>
          <w:szCs w:val="28"/>
        </w:rPr>
        <w:t xml:space="preserve">По результатам оценки эффективности хода исполнения поручений, содержащихся в «майских указах»  </w:t>
      </w:r>
      <w:r w:rsidR="00050701">
        <w:rPr>
          <w:sz w:val="28"/>
          <w:szCs w:val="28"/>
        </w:rPr>
        <w:t xml:space="preserve">Президента Российской </w:t>
      </w:r>
      <w:r w:rsidRPr="00E175DD">
        <w:rPr>
          <w:sz w:val="28"/>
          <w:szCs w:val="28"/>
        </w:rPr>
        <w:t>Ф</w:t>
      </w:r>
      <w:r w:rsidR="00050701">
        <w:rPr>
          <w:sz w:val="28"/>
          <w:szCs w:val="28"/>
        </w:rPr>
        <w:t>едерации</w:t>
      </w:r>
      <w:r w:rsidRPr="00E175DD">
        <w:rPr>
          <w:sz w:val="28"/>
          <w:szCs w:val="28"/>
        </w:rPr>
        <w:t xml:space="preserve"> за первый квартал 2017 года Мелекесский район  находится во второй классификационной группе с высоким уровнем выполнения показателей.  Район по полноте  исполнения находится на 6 месте среди 24 муниципальных образований Ульяновской области, с уровнем исполнения 70.6%. Динамика исполнения 9 место, несколько снижены темпы на 2.9% по обеспечению роста заработной платы в сфере образования (общего и дошкольного), культуры.  Остается </w:t>
      </w:r>
      <w:r w:rsidR="00050701">
        <w:rPr>
          <w:sz w:val="28"/>
          <w:szCs w:val="28"/>
        </w:rPr>
        <w:t xml:space="preserve">на контроле </w:t>
      </w:r>
      <w:r w:rsidRPr="00E175DD">
        <w:rPr>
          <w:sz w:val="28"/>
          <w:szCs w:val="28"/>
        </w:rPr>
        <w:t xml:space="preserve">вопрос по достижению целевых показателей Указа №598 «О совершенствовании государственной политики в сфере здравоохранения»,   (снижение смертности от болезней системы кровообращения, новообразований, от туберкулеза). </w:t>
      </w:r>
    </w:p>
    <w:p w:rsidR="00E175DD" w:rsidRPr="00E175DD" w:rsidRDefault="00E175DD" w:rsidP="00050701">
      <w:pPr>
        <w:pStyle w:val="a3"/>
        <w:spacing w:after="0"/>
        <w:jc w:val="both"/>
        <w:rPr>
          <w:sz w:val="28"/>
          <w:szCs w:val="28"/>
        </w:rPr>
      </w:pPr>
      <w:r w:rsidRPr="00E175DD">
        <w:rPr>
          <w:sz w:val="28"/>
          <w:szCs w:val="28"/>
        </w:rPr>
        <w:lastRenderedPageBreak/>
        <w:t xml:space="preserve"> В целом </w:t>
      </w:r>
      <w:r w:rsidR="00050701">
        <w:rPr>
          <w:sz w:val="28"/>
          <w:szCs w:val="28"/>
        </w:rPr>
        <w:t xml:space="preserve"> стоит </w:t>
      </w:r>
      <w:r w:rsidRPr="00E175DD">
        <w:rPr>
          <w:sz w:val="28"/>
          <w:szCs w:val="28"/>
        </w:rPr>
        <w:t xml:space="preserve">отметить, что </w:t>
      </w:r>
      <w:r w:rsidR="00050701">
        <w:rPr>
          <w:sz w:val="28"/>
          <w:szCs w:val="28"/>
        </w:rPr>
        <w:t>все исполнители данных «майских указов» понимают</w:t>
      </w:r>
      <w:r w:rsidRPr="00E175DD">
        <w:rPr>
          <w:sz w:val="28"/>
          <w:szCs w:val="28"/>
        </w:rPr>
        <w:t xml:space="preserve"> всю полноту ответственности за </w:t>
      </w:r>
      <w:r w:rsidR="00050701">
        <w:rPr>
          <w:sz w:val="28"/>
          <w:szCs w:val="28"/>
        </w:rPr>
        <w:t xml:space="preserve">их реализацию на территории Мелекесского района, </w:t>
      </w:r>
      <w:r w:rsidRPr="00E175DD">
        <w:rPr>
          <w:sz w:val="28"/>
          <w:szCs w:val="28"/>
        </w:rPr>
        <w:t xml:space="preserve"> понятен механизм работы. На уровне муниципального образования полностью разработана вся нормативная документация, утверждены и согласованы с министерствами  планы мероприятий. В администрации назначены ответственные за реализацию «майских указов», что позволяет более оперативно осуществлять контроль и не размывать меру персональной ответственности. Обсуждение итогов и проблемных вопросов, возникающих при исполнении «майских указов», регулярно проводится  в рамках аппаратных совещаний с участием кураторов с областного правительства, представителей муниципальной  Общественной палаты, Совета ветеранов</w:t>
      </w:r>
      <w:r w:rsidR="00050701">
        <w:rPr>
          <w:sz w:val="28"/>
          <w:szCs w:val="28"/>
        </w:rPr>
        <w:t>.</w:t>
      </w:r>
      <w:r w:rsidRPr="00E175DD">
        <w:rPr>
          <w:sz w:val="28"/>
          <w:szCs w:val="28"/>
        </w:rPr>
        <w:t xml:space="preserve"> </w:t>
      </w:r>
    </w:p>
    <w:p w:rsidR="00E175DD" w:rsidRPr="00E175DD" w:rsidRDefault="00E175DD" w:rsidP="00E17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AB3" w:rsidRPr="00E175DD" w:rsidRDefault="00CD2AB3">
      <w:pPr>
        <w:rPr>
          <w:sz w:val="28"/>
          <w:szCs w:val="28"/>
        </w:rPr>
      </w:pPr>
    </w:p>
    <w:sectPr w:rsidR="00CD2AB3" w:rsidRPr="00E175DD" w:rsidSect="00CD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75DD"/>
    <w:rsid w:val="00050701"/>
    <w:rsid w:val="00083582"/>
    <w:rsid w:val="001F7F92"/>
    <w:rsid w:val="00C95AFF"/>
    <w:rsid w:val="00CD2AB3"/>
    <w:rsid w:val="00E175DD"/>
    <w:rsid w:val="00F46889"/>
    <w:rsid w:val="00F8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175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ЛюдмилаАлександровна</dc:creator>
  <cp:lastModifiedBy>ЛюдмилаАлександровна</cp:lastModifiedBy>
  <cp:revision>1</cp:revision>
  <dcterms:created xsi:type="dcterms:W3CDTF">2017-06-13T06:57:00Z</dcterms:created>
  <dcterms:modified xsi:type="dcterms:W3CDTF">2017-06-13T07:36:00Z</dcterms:modified>
</cp:coreProperties>
</file>