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B" w:rsidRPr="00A01B76" w:rsidRDefault="00A01B76" w:rsidP="00312D9B">
      <w:pPr>
        <w:pStyle w:val="ConsPlusNormal"/>
        <w:jc w:val="center"/>
        <w:rPr>
          <w:rFonts w:ascii="PT Astra Serif" w:hAnsi="PT Astra Serif"/>
          <w:szCs w:val="24"/>
        </w:rPr>
      </w:pPr>
      <w:bookmarkStart w:id="0" w:name="_GoBack"/>
      <w:bookmarkEnd w:id="0"/>
      <w:r>
        <w:rPr>
          <w:rFonts w:ascii="PT Astra Serif" w:hAnsi="PT Astra Serif"/>
          <w:szCs w:val="24"/>
        </w:rPr>
        <w:t>О</w:t>
      </w:r>
      <w:r w:rsidR="00312D9B" w:rsidRPr="00A01B76">
        <w:rPr>
          <w:rFonts w:ascii="PT Astra Serif" w:hAnsi="PT Astra Serif"/>
          <w:szCs w:val="24"/>
        </w:rPr>
        <w:t>тчет</w:t>
      </w:r>
    </w:p>
    <w:p w:rsidR="007C4779" w:rsidRPr="00A01B76" w:rsidRDefault="00312D9B" w:rsidP="005C45B3">
      <w:pPr>
        <w:autoSpaceDE w:val="0"/>
        <w:jc w:val="center"/>
        <w:rPr>
          <w:rFonts w:ascii="PT Astra Serif" w:eastAsia="Arial" w:hAnsi="PT Astra Serif"/>
          <w:bCs/>
          <w:lang w:eastAsia="zh-CN" w:bidi="hi-IN"/>
        </w:rPr>
      </w:pPr>
      <w:r w:rsidRPr="00A01B76">
        <w:rPr>
          <w:rFonts w:ascii="PT Astra Serif" w:hAnsi="PT Astra Serif"/>
        </w:rPr>
        <w:t>о реализации муниципальной программы</w:t>
      </w:r>
      <w:r w:rsidR="00940F97" w:rsidRPr="00A01B76">
        <w:rPr>
          <w:rFonts w:ascii="PT Astra Serif" w:hAnsi="PT Astra Serif"/>
        </w:rPr>
        <w:t xml:space="preserve"> </w:t>
      </w:r>
      <w:r w:rsidR="007C4779" w:rsidRPr="00A01B76">
        <w:rPr>
          <w:rFonts w:ascii="PT Astra Serif" w:eastAsia="Arial" w:hAnsi="PT Astra Serif"/>
          <w:bCs/>
          <w:lang w:eastAsia="zh-CN" w:bidi="hi-IN"/>
        </w:rPr>
        <w:t>"Противодействие коррупции в муниципальном образовании</w:t>
      </w:r>
      <w:r w:rsidR="005C45B3">
        <w:rPr>
          <w:rFonts w:ascii="PT Astra Serif" w:eastAsia="Arial" w:hAnsi="PT Astra Serif"/>
          <w:bCs/>
          <w:lang w:eastAsia="zh-CN" w:bidi="hi-IN"/>
        </w:rPr>
        <w:t xml:space="preserve"> </w:t>
      </w:r>
      <w:r w:rsidR="007C4779" w:rsidRPr="00A01B76">
        <w:rPr>
          <w:rFonts w:ascii="PT Astra Serif" w:eastAsia="Arial" w:hAnsi="PT Astra Serif"/>
          <w:bCs/>
          <w:lang w:eastAsia="zh-CN" w:bidi="hi-IN"/>
        </w:rPr>
        <w:t>"</w:t>
      </w:r>
      <w:proofErr w:type="spellStart"/>
      <w:r w:rsidR="007C4779" w:rsidRPr="00A01B76">
        <w:rPr>
          <w:rFonts w:ascii="PT Astra Serif" w:eastAsia="Arial" w:hAnsi="PT Astra Serif"/>
          <w:bCs/>
          <w:lang w:eastAsia="zh-CN" w:bidi="hi-IN"/>
        </w:rPr>
        <w:t>Мелекесский</w:t>
      </w:r>
      <w:proofErr w:type="spellEnd"/>
      <w:r w:rsidR="007C4779" w:rsidRPr="00A01B76">
        <w:rPr>
          <w:rFonts w:ascii="PT Astra Serif" w:eastAsia="Arial" w:hAnsi="PT Astra Serif"/>
          <w:bCs/>
          <w:lang w:eastAsia="zh-CN" w:bidi="hi-IN"/>
        </w:rPr>
        <w:t xml:space="preserve"> район" Ульяновской области на 2019 - 2023 годы"</w:t>
      </w:r>
    </w:p>
    <w:p w:rsidR="00312D9B" w:rsidRPr="00A01B76" w:rsidRDefault="00312D9B" w:rsidP="00312D9B">
      <w:pPr>
        <w:pStyle w:val="ConsPlusNormal"/>
        <w:jc w:val="center"/>
        <w:rPr>
          <w:rFonts w:ascii="PT Astra Serif" w:hAnsi="PT Astra Serif"/>
          <w:szCs w:val="24"/>
        </w:rPr>
      </w:pPr>
    </w:p>
    <w:p w:rsidR="00312D9B" w:rsidRPr="00A01B76" w:rsidRDefault="00312D9B" w:rsidP="00312D9B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08"/>
        <w:gridCol w:w="1587"/>
        <w:gridCol w:w="1701"/>
        <w:gridCol w:w="1815"/>
        <w:gridCol w:w="1701"/>
      </w:tblGrid>
      <w:tr w:rsidR="00312D9B" w:rsidRPr="00A01B76" w:rsidTr="008D6B18">
        <w:tc>
          <w:tcPr>
            <w:tcW w:w="2098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Наименование Программы/наименование мероприятия</w:t>
            </w:r>
          </w:p>
        </w:tc>
        <w:tc>
          <w:tcPr>
            <w:tcW w:w="1508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Предусмотрено в бюджете, тыс. руб.</w:t>
            </w:r>
          </w:p>
        </w:tc>
        <w:tc>
          <w:tcPr>
            <w:tcW w:w="1587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Освоено средств, тыс. руб.</w:t>
            </w:r>
          </w:p>
        </w:tc>
        <w:tc>
          <w:tcPr>
            <w:tcW w:w="1701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% освоения</w:t>
            </w:r>
          </w:p>
        </w:tc>
        <w:tc>
          <w:tcPr>
            <w:tcW w:w="1815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 xml:space="preserve">Оценка достигнутых критериев </w:t>
            </w:r>
            <w:hyperlink w:anchor="P149" w:history="1">
              <w:r w:rsidRPr="00A01B76">
                <w:rPr>
                  <w:rFonts w:ascii="PT Astra Serif" w:hAnsi="PT Astra Serif"/>
                  <w:color w:val="0000FF"/>
                  <w:szCs w:val="24"/>
                </w:rPr>
                <w:t>п. 4.5</w:t>
              </w:r>
            </w:hyperlink>
            <w:r w:rsidRPr="00A01B76">
              <w:rPr>
                <w:rFonts w:ascii="PT Astra Serif" w:hAnsi="PT Astra Serif"/>
                <w:szCs w:val="24"/>
              </w:rPr>
              <w:t xml:space="preserve"> Порядка</w:t>
            </w:r>
          </w:p>
        </w:tc>
        <w:tc>
          <w:tcPr>
            <w:tcW w:w="1701" w:type="dxa"/>
          </w:tcPr>
          <w:p w:rsidR="00312D9B" w:rsidRPr="00A01B76" w:rsidRDefault="00312D9B" w:rsidP="00502EE6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Примечание</w:t>
            </w:r>
          </w:p>
        </w:tc>
      </w:tr>
      <w:tr w:rsidR="00312D9B" w:rsidRPr="00A01B76" w:rsidTr="008D6B18">
        <w:tc>
          <w:tcPr>
            <w:tcW w:w="2098" w:type="dxa"/>
          </w:tcPr>
          <w:p w:rsidR="00312D9B" w:rsidRPr="00A01B76" w:rsidRDefault="0009252F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08" w:type="dxa"/>
          </w:tcPr>
          <w:p w:rsidR="00312D9B" w:rsidRPr="00A01B76" w:rsidRDefault="0009252F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1,0</w:t>
            </w:r>
          </w:p>
        </w:tc>
        <w:tc>
          <w:tcPr>
            <w:tcW w:w="1587" w:type="dxa"/>
          </w:tcPr>
          <w:p w:rsidR="00312D9B" w:rsidRPr="00A01B76" w:rsidRDefault="0009252F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312D9B" w:rsidRPr="00A01B76" w:rsidRDefault="0009252F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815" w:type="dxa"/>
          </w:tcPr>
          <w:p w:rsidR="00312D9B" w:rsidRPr="00A01B76" w:rsidRDefault="00312D9B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312D9B" w:rsidRPr="00A01B76" w:rsidRDefault="00312D9B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5,0</w:t>
            </w:r>
          </w:p>
        </w:tc>
        <w:tc>
          <w:tcPr>
            <w:tcW w:w="1587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Запланировано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eastAsia="Arial" w:hAnsi="PT Astra Serif"/>
                <w:szCs w:val="24"/>
              </w:rPr>
              <w:t>Обучение муниципальных служащих, впервые поступивших на службу по программам в области противодействия коррупции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3,0</w:t>
            </w:r>
          </w:p>
        </w:tc>
        <w:tc>
          <w:tcPr>
            <w:tcW w:w="1587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0F3931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Запланировано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t xml:space="preserve">Проведение социологического опроса (анкетирование) в целях оценки уровня коррупции в муниципальном </w:t>
            </w:r>
            <w:r w:rsidRPr="00A01B76">
              <w:rPr>
                <w:rFonts w:ascii="PT Astra Serif" w:eastAsia="Arial" w:hAnsi="PT Astra Serif"/>
              </w:rPr>
              <w:lastRenderedPageBreak/>
              <w:t>образовании "Мелекесский район"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lastRenderedPageBreak/>
              <w:t>10,0</w:t>
            </w:r>
          </w:p>
        </w:tc>
        <w:tc>
          <w:tcPr>
            <w:tcW w:w="1587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0F3931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Запланировано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lastRenderedPageBreak/>
              <w:t>Создание и размещение социальной рекламы антикоррупционной направленности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t>15,0</w:t>
            </w:r>
          </w:p>
        </w:tc>
        <w:tc>
          <w:tcPr>
            <w:tcW w:w="1587" w:type="dxa"/>
          </w:tcPr>
          <w:p w:rsidR="007C4779" w:rsidRPr="00A01B76" w:rsidRDefault="00940F97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15,0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A17961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100%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t>15,0</w:t>
            </w:r>
          </w:p>
        </w:tc>
        <w:tc>
          <w:tcPr>
            <w:tcW w:w="1587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</w:tcPr>
          <w:p w:rsidR="007C4779" w:rsidRPr="00A01B76" w:rsidRDefault="00722DEA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По плану  в 4 квартале</w:t>
            </w: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7C4779" w:rsidP="00B213A1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A01B76">
              <w:rPr>
                <w:rFonts w:ascii="PT Astra Serif" w:eastAsia="Arial" w:hAnsi="PT Astra Serif"/>
              </w:rPr>
              <w:t>Издание буклетов, брошюр-памяток антикоррупционной направленности и их распространение среди различных категорий граждан</w:t>
            </w:r>
          </w:p>
        </w:tc>
        <w:tc>
          <w:tcPr>
            <w:tcW w:w="1508" w:type="dxa"/>
          </w:tcPr>
          <w:p w:rsidR="007C4779" w:rsidRPr="00A01B76" w:rsidRDefault="007C4779" w:rsidP="008D6B18">
            <w:pPr>
              <w:jc w:val="center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</w:rPr>
              <w:t>6,0</w:t>
            </w:r>
          </w:p>
        </w:tc>
        <w:tc>
          <w:tcPr>
            <w:tcW w:w="1587" w:type="dxa"/>
          </w:tcPr>
          <w:p w:rsidR="007C4779" w:rsidRPr="00A01B76" w:rsidRDefault="00940F97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0,52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A17961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0,8%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7C4779" w:rsidRPr="00A01B76" w:rsidTr="008D6B18">
        <w:tc>
          <w:tcPr>
            <w:tcW w:w="2098" w:type="dxa"/>
          </w:tcPr>
          <w:p w:rsidR="007C4779" w:rsidRPr="00A01B76" w:rsidRDefault="00B14D1E" w:rsidP="00502EE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B76">
              <w:rPr>
                <w:rFonts w:ascii="PT Astra Serif" w:hAnsi="PT Astra Serif"/>
                <w:szCs w:val="24"/>
              </w:rPr>
              <w:t>Мелекесские</w:t>
            </w:r>
            <w:proofErr w:type="spellEnd"/>
            <w:r w:rsidRPr="00A01B76">
              <w:rPr>
                <w:rFonts w:ascii="PT Astra Serif" w:hAnsi="PT Astra Serif"/>
                <w:szCs w:val="24"/>
              </w:rPr>
              <w:t xml:space="preserve"> вести»</w:t>
            </w:r>
          </w:p>
        </w:tc>
        <w:tc>
          <w:tcPr>
            <w:tcW w:w="1508" w:type="dxa"/>
          </w:tcPr>
          <w:p w:rsidR="007C4779" w:rsidRPr="00A01B76" w:rsidRDefault="00B14D1E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A01B76">
              <w:rPr>
                <w:rFonts w:ascii="PT Astra Serif" w:hAnsi="PT Astra Serif"/>
                <w:szCs w:val="24"/>
              </w:rPr>
              <w:t>10,0</w:t>
            </w:r>
          </w:p>
        </w:tc>
        <w:tc>
          <w:tcPr>
            <w:tcW w:w="1587" w:type="dxa"/>
          </w:tcPr>
          <w:p w:rsidR="007C4779" w:rsidRPr="00A01B76" w:rsidRDefault="005C45B3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10,0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15" w:type="dxa"/>
          </w:tcPr>
          <w:p w:rsidR="007C4779" w:rsidRPr="00A01B76" w:rsidRDefault="005C45B3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100%</w:t>
            </w:r>
          </w:p>
        </w:tc>
        <w:tc>
          <w:tcPr>
            <w:tcW w:w="1701" w:type="dxa"/>
          </w:tcPr>
          <w:p w:rsidR="007C4779" w:rsidRPr="00A01B76" w:rsidRDefault="007C4779" w:rsidP="008D6B18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312D9B" w:rsidRPr="00A01B76" w:rsidRDefault="00312D9B" w:rsidP="00312D9B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312D9B" w:rsidRPr="00A01B76" w:rsidRDefault="00312D9B" w:rsidP="00312D9B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6D4B8E" w:rsidRPr="00A01B76" w:rsidRDefault="006D4B8E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  <w:r w:rsidRPr="00A01B76">
        <w:rPr>
          <w:rFonts w:ascii="PT Astra Serif" w:hAnsi="PT Astra Serif"/>
        </w:rPr>
        <w:br w:type="page"/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lastRenderedPageBreak/>
        <w:t xml:space="preserve">Отчет 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>по оценке значений индикаторов муниципальной программы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01B76">
        <w:rPr>
          <w:rFonts w:ascii="PT Astra Serif" w:hAnsi="PT Astra Serif"/>
          <w:bCs/>
          <w:sz w:val="28"/>
          <w:szCs w:val="28"/>
        </w:rPr>
        <w:t>"Противодействие коррупции в муниципальном образовании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01B76">
        <w:rPr>
          <w:rFonts w:ascii="PT Astra Serif" w:hAnsi="PT Astra Serif"/>
          <w:bCs/>
          <w:sz w:val="28"/>
          <w:szCs w:val="28"/>
        </w:rPr>
        <w:t>"Мелекесский район" Ульяновской области на 2019 - 2023 годы"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>за</w:t>
      </w:r>
      <w:r w:rsidRPr="00A01B76">
        <w:rPr>
          <w:rFonts w:ascii="PT Astra Serif" w:hAnsi="PT Astra Serif"/>
          <w:sz w:val="18"/>
          <w:szCs w:val="18"/>
        </w:rPr>
        <w:t xml:space="preserve"> </w:t>
      </w:r>
      <w:r w:rsidR="005825FF">
        <w:rPr>
          <w:rFonts w:ascii="PT Astra Serif" w:hAnsi="PT Astra Serif"/>
          <w:sz w:val="28"/>
          <w:szCs w:val="28"/>
        </w:rPr>
        <w:t>9 месяцев</w:t>
      </w:r>
      <w:r w:rsidRPr="00A01B76">
        <w:rPr>
          <w:rFonts w:ascii="PT Astra Serif" w:hAnsi="PT Astra Serif"/>
          <w:sz w:val="28"/>
          <w:szCs w:val="28"/>
        </w:rPr>
        <w:t xml:space="preserve"> 2019 года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sz w:val="18"/>
          <w:szCs w:val="18"/>
        </w:rPr>
      </w:pPr>
    </w:p>
    <w:tbl>
      <w:tblPr>
        <w:tblW w:w="10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850"/>
        <w:gridCol w:w="851"/>
        <w:gridCol w:w="994"/>
        <w:gridCol w:w="1134"/>
        <w:gridCol w:w="1558"/>
        <w:gridCol w:w="1842"/>
      </w:tblGrid>
      <w:tr w:rsidR="008D6B18" w:rsidRPr="00A01B76" w:rsidTr="00E10370">
        <w:trPr>
          <w:trHeight w:val="17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Величина индикаторов в базовом году*</w:t>
            </w:r>
          </w:p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Предыдущий период по программе*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Отчетный год</w:t>
            </w:r>
          </w:p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(показатели годовые)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 w:rsidRPr="00A01B76">
              <w:rPr>
                <w:rFonts w:ascii="PT Astra Serif" w:hAnsi="PT Astra Serif"/>
                <w:sz w:val="26"/>
                <w:szCs w:val="26"/>
              </w:rPr>
              <w:t>от</w:t>
            </w:r>
            <w:proofErr w:type="gramEnd"/>
            <w:r w:rsidRPr="00A01B76">
              <w:rPr>
                <w:rFonts w:ascii="PT Astra Serif" w:hAnsi="PT Astra Serif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7"/>
                <w:szCs w:val="27"/>
              </w:rPr>
            </w:pPr>
            <w:r w:rsidRPr="00A01B76">
              <w:rPr>
                <w:rFonts w:ascii="PT Astra Serif" w:hAnsi="PT Astra Serif"/>
                <w:sz w:val="27"/>
                <w:szCs w:val="27"/>
              </w:rPr>
              <w:t>Причины отклонения</w:t>
            </w:r>
          </w:p>
        </w:tc>
      </w:tr>
      <w:tr w:rsidR="008D6B18" w:rsidRPr="00A01B76" w:rsidTr="00E10370">
        <w:trPr>
          <w:trHeight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8" w:rsidRPr="00A01B76" w:rsidRDefault="008D6B18" w:rsidP="007B03E4">
            <w:pPr>
              <w:rPr>
                <w:rFonts w:ascii="PT Astra Serif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8" w:rsidRPr="00A01B76" w:rsidRDefault="008D6B18" w:rsidP="007B03E4">
            <w:pPr>
              <w:rPr>
                <w:rFonts w:ascii="PT Astra Serif" w:hAnsi="PT Astra Serif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факт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8" w:rsidRPr="00A01B76" w:rsidRDefault="008D6B18" w:rsidP="007B03E4">
            <w:pPr>
              <w:pStyle w:val="ConsPlusNormal"/>
              <w:rPr>
                <w:rFonts w:ascii="PT Astra Serif" w:hAnsi="PT Astra Serif"/>
                <w:sz w:val="26"/>
                <w:szCs w:val="26"/>
              </w:rPr>
            </w:pPr>
            <w:r w:rsidRPr="00A01B76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 xml:space="preserve">Снижение доли проектов нормативных правовых актов, в которых были выявлены </w:t>
            </w:r>
            <w:proofErr w:type="spellStart"/>
            <w:r w:rsidRPr="00A01B76">
              <w:rPr>
                <w:rFonts w:ascii="PT Astra Serif" w:eastAsia="Arial" w:hAnsi="PT Astra Serif"/>
                <w:bCs/>
              </w:rPr>
              <w:t>коррупциогенные</w:t>
            </w:r>
            <w:proofErr w:type="spellEnd"/>
            <w:r w:rsidRPr="00A01B76">
              <w:rPr>
                <w:rFonts w:ascii="PT Astra Serif" w:eastAsia="Arial" w:hAnsi="PT Astra Serif"/>
                <w:bCs/>
              </w:rPr>
              <w:t xml:space="preserve"> факторы, в общем количестве проектов нормативных правовых актов, проходивших антикоррупционный анализ,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Снижение доли жителей муниципального образования "Мелекесский район", имеющих недостаточно информации о мерах по борьбе с коррупцией в муниципальном образовании "Мелекесский район" (по данным анкетирования),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73603D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ED59B3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ED59B3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Работа по информированию о мерах борьбы с коррупцией будет в рамках мероприятий, посвященных Международному дню борьбы с коррупцией, что позволит выполнить индикатор  </w:t>
            </w: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lastRenderedPageBreak/>
      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5825FF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исполнителей,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7E736E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45B3">
              <w:rPr>
                <w:rFonts w:ascii="PT Astra Serif" w:hAnsi="PT Astra Serif"/>
                <w:sz w:val="28"/>
                <w:szCs w:val="28"/>
              </w:rPr>
              <w:t>30,4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количества мероприятий по осуществлению общественного контроля Общественной палатой и Советом по вопросам общественного контроля,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5C45B3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45B3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числа участников мероприятий, направленных на профилактику коррупции,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7E736E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8D6B18" w:rsidRPr="00A01B76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B18" w:rsidRPr="00A01B76" w:rsidTr="00E10370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lastRenderedPageBreak/>
      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район»,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7E736E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8" w:rsidRPr="00A01B76" w:rsidRDefault="008D6B18" w:rsidP="008D6B1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6B18" w:rsidRPr="00A01B76" w:rsidRDefault="008D6B18" w:rsidP="008D6B18">
      <w:pPr>
        <w:jc w:val="both"/>
        <w:rPr>
          <w:rFonts w:ascii="PT Astra Serif" w:hAnsi="PT Astra Serif"/>
        </w:rPr>
      </w:pPr>
    </w:p>
    <w:p w:rsidR="008D6B18" w:rsidRPr="00A01B76" w:rsidRDefault="008D6B18" w:rsidP="008D6B18">
      <w:pPr>
        <w:pStyle w:val="ConsPlusNormal"/>
        <w:rPr>
          <w:rFonts w:ascii="PT Astra Serif" w:hAnsi="PT Astra Serif"/>
          <w:sz w:val="26"/>
          <w:szCs w:val="26"/>
        </w:rPr>
      </w:pPr>
      <w:r w:rsidRPr="00A01B76">
        <w:rPr>
          <w:rFonts w:ascii="PT Astra Serif" w:hAnsi="PT Astra Serif"/>
        </w:rPr>
        <w:t>*</w:t>
      </w:r>
      <w:r w:rsidRPr="00A01B76">
        <w:rPr>
          <w:rFonts w:ascii="PT Astra Serif" w:hAnsi="PT Astra Serif"/>
          <w:sz w:val="26"/>
          <w:szCs w:val="26"/>
        </w:rPr>
        <w:t xml:space="preserve"> Не указывается величина индикаторов в базовом году и за предыдущий период по причине начала реализации программы с 2019 года</w:t>
      </w:r>
    </w:p>
    <w:p w:rsidR="008D6B18" w:rsidRPr="00A01B76" w:rsidRDefault="008D6B18">
      <w:pPr>
        <w:rPr>
          <w:rFonts w:ascii="PT Astra Serif" w:hAnsi="PT Astra Serif"/>
        </w:rPr>
      </w:pPr>
      <w:r w:rsidRPr="00A01B76">
        <w:rPr>
          <w:rFonts w:ascii="PT Astra Serif" w:hAnsi="PT Astra Serif"/>
        </w:rPr>
        <w:br w:type="page"/>
      </w:r>
    </w:p>
    <w:p w:rsidR="008D6B18" w:rsidRPr="00A01B76" w:rsidRDefault="008D6B18" w:rsidP="008D6B18">
      <w:pPr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lastRenderedPageBreak/>
        <w:t>Оценка</w:t>
      </w:r>
    </w:p>
    <w:p w:rsidR="008D6B18" w:rsidRPr="00A01B76" w:rsidRDefault="008D6B18" w:rsidP="008D6B18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 xml:space="preserve">эффективности муниципальной программы </w:t>
      </w:r>
      <w:r w:rsidRPr="00A01B76">
        <w:rPr>
          <w:rFonts w:ascii="PT Astra Serif" w:hAnsi="PT Astra Serif"/>
          <w:bCs/>
          <w:sz w:val="28"/>
          <w:szCs w:val="28"/>
        </w:rPr>
        <w:t>"Противодействие коррупции в муниципальном образовании "Мелекесский район" Ульяновской области на 2019 - 2023 годы"</w:t>
      </w:r>
    </w:p>
    <w:p w:rsidR="008D6B18" w:rsidRPr="00A01B76" w:rsidRDefault="008D6B18" w:rsidP="008D6B18">
      <w:pPr>
        <w:jc w:val="center"/>
        <w:rPr>
          <w:rFonts w:ascii="PT Astra Serif" w:hAnsi="PT Astra Serif"/>
          <w:sz w:val="28"/>
          <w:szCs w:val="28"/>
        </w:rPr>
      </w:pPr>
      <w:r w:rsidRPr="00A01B76">
        <w:rPr>
          <w:rFonts w:ascii="PT Astra Serif" w:hAnsi="PT Astra Serif"/>
          <w:sz w:val="28"/>
          <w:szCs w:val="28"/>
        </w:rPr>
        <w:t>за 1 полугодие 2019 года</w:t>
      </w:r>
    </w:p>
    <w:p w:rsidR="008D6B18" w:rsidRPr="00A01B76" w:rsidRDefault="008D6B18" w:rsidP="008D6B1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2"/>
        <w:gridCol w:w="2124"/>
        <w:gridCol w:w="1669"/>
      </w:tblGrid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Ожидаемый результат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План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 xml:space="preserve">Факт </w:t>
            </w:r>
          </w:p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За 1 полугодие</w:t>
            </w:r>
          </w:p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2019 года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 xml:space="preserve">% </w:t>
            </w:r>
          </w:p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выполнения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 xml:space="preserve">Снижение доли проектов нормативных правовых актов, в которых были выявлены </w:t>
            </w:r>
            <w:proofErr w:type="spellStart"/>
            <w:r w:rsidRPr="00A01B76">
              <w:rPr>
                <w:rFonts w:ascii="PT Astra Serif" w:eastAsia="Arial" w:hAnsi="PT Astra Serif"/>
                <w:bCs/>
              </w:rPr>
              <w:t>коррупциогенные</w:t>
            </w:r>
            <w:proofErr w:type="spellEnd"/>
            <w:r w:rsidRPr="00A01B76">
              <w:rPr>
                <w:rFonts w:ascii="PT Astra Serif" w:eastAsia="Arial" w:hAnsi="PT Astra Serif"/>
                <w:bCs/>
              </w:rPr>
              <w:t xml:space="preserve"> факторы, в общем количестве проектов нормативных правовых актов, проходивших антикоррупционный анализ, проценты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3,6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Снижение доли жителей муниципального образования "Мелекесский район", имеющих недостаточно информации о мерах по борьбе с коррупцией в муниципальном образовании "Мелекесский район" (по данным анкетирования), проценты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8D6B18" w:rsidRPr="00A01B76" w:rsidRDefault="0073603D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1669" w:type="dxa"/>
          </w:tcPr>
          <w:p w:rsidR="008D6B18" w:rsidRPr="00A01B76" w:rsidRDefault="0073603D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107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среднего количества участников закупок, осуществлённых конкурентными способами определения поставщиков (подрядчиков, исполнителей),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2124" w:type="dxa"/>
          </w:tcPr>
          <w:p w:rsidR="008D6B18" w:rsidRPr="00A01B76" w:rsidRDefault="007E736E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3,82</w:t>
            </w:r>
          </w:p>
        </w:tc>
        <w:tc>
          <w:tcPr>
            <w:tcW w:w="1669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106,2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подрядчиков, исполнителей, проценты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124" w:type="dxa"/>
          </w:tcPr>
          <w:p w:rsidR="008D6B18" w:rsidRPr="005C45B3" w:rsidRDefault="007E736E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45B3">
              <w:rPr>
                <w:rFonts w:ascii="PT Astra Serif" w:hAnsi="PT Astra Serif"/>
                <w:sz w:val="28"/>
                <w:szCs w:val="28"/>
              </w:rPr>
              <w:t>30,4</w:t>
            </w:r>
          </w:p>
        </w:tc>
        <w:tc>
          <w:tcPr>
            <w:tcW w:w="1669" w:type="dxa"/>
          </w:tcPr>
          <w:p w:rsidR="008D6B18" w:rsidRPr="005C45B3" w:rsidRDefault="007E736E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C45B3">
              <w:rPr>
                <w:rFonts w:ascii="PT Astra Serif" w:hAnsi="PT Astra Serif"/>
                <w:sz w:val="28"/>
                <w:szCs w:val="28"/>
              </w:rPr>
              <w:t>152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количества мероприятий по осуществлению общественного контроля Общественной палатой и Советом по вопросам общественного контроля,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124" w:type="dxa"/>
          </w:tcPr>
          <w:p w:rsidR="008D6B18" w:rsidRPr="00A01B76" w:rsidRDefault="005C45B3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1669" w:type="dxa"/>
          </w:tcPr>
          <w:p w:rsidR="008D6B18" w:rsidRPr="00A01B76" w:rsidRDefault="005C45B3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74,3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числа участников мероприятий, направленных на профилактику коррупции,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2124" w:type="dxa"/>
          </w:tcPr>
          <w:p w:rsidR="008D6B18" w:rsidRPr="00A01B76" w:rsidRDefault="007E736E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8D6B18" w:rsidRPr="00A01B76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69" w:type="dxa"/>
          </w:tcPr>
          <w:p w:rsidR="008D6B18" w:rsidRPr="00A01B76" w:rsidRDefault="005C45B3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</w:t>
            </w:r>
          </w:p>
        </w:tc>
      </w:tr>
      <w:tr w:rsidR="008D6B18" w:rsidRPr="00A01B76" w:rsidTr="008D6B18">
        <w:tc>
          <w:tcPr>
            <w:tcW w:w="4786" w:type="dxa"/>
          </w:tcPr>
          <w:p w:rsidR="008D6B18" w:rsidRPr="00A01B76" w:rsidRDefault="008D6B18" w:rsidP="007B03E4">
            <w:pPr>
              <w:autoSpaceDE w:val="0"/>
              <w:jc w:val="both"/>
              <w:rPr>
                <w:rFonts w:ascii="PT Astra Serif" w:eastAsia="Arial" w:hAnsi="PT Astra Serif"/>
                <w:bCs/>
              </w:rPr>
            </w:pPr>
            <w:r w:rsidRPr="00A01B76">
              <w:rPr>
                <w:rFonts w:ascii="PT Astra Serif" w:eastAsia="Arial" w:hAnsi="PT Astra Serif"/>
                <w:bCs/>
              </w:rPr>
      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«Мелекесский район», единицы</w:t>
            </w:r>
          </w:p>
        </w:tc>
        <w:tc>
          <w:tcPr>
            <w:tcW w:w="1842" w:type="dxa"/>
          </w:tcPr>
          <w:p w:rsidR="008D6B18" w:rsidRPr="00A01B76" w:rsidRDefault="008D6B18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B76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124" w:type="dxa"/>
          </w:tcPr>
          <w:p w:rsidR="008D6B18" w:rsidRPr="00A01B76" w:rsidRDefault="007E736E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  <w:tc>
          <w:tcPr>
            <w:tcW w:w="1669" w:type="dxa"/>
          </w:tcPr>
          <w:p w:rsidR="008D6B18" w:rsidRPr="00A01B76" w:rsidRDefault="005C45B3" w:rsidP="007B03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119</w:t>
            </w:r>
          </w:p>
        </w:tc>
      </w:tr>
    </w:tbl>
    <w:p w:rsidR="008D6B18" w:rsidRPr="00A01B76" w:rsidRDefault="008D6B18" w:rsidP="008D6B18">
      <w:pPr>
        <w:rPr>
          <w:rFonts w:ascii="PT Astra Serif" w:hAnsi="PT Astra Serif"/>
          <w:sz w:val="28"/>
          <w:szCs w:val="28"/>
        </w:rPr>
      </w:pPr>
    </w:p>
    <w:p w:rsidR="008D6B18" w:rsidRPr="00A01B76" w:rsidRDefault="008D6B18" w:rsidP="008D6B18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В рамках реализации муниципальной программы </w:t>
      </w:r>
      <w:r w:rsidRPr="00A01B76">
        <w:rPr>
          <w:rFonts w:ascii="PT Astra Serif" w:eastAsia="Andale Sans UI" w:hAnsi="PT Astra Serif"/>
          <w:bCs/>
          <w:kern w:val="1"/>
        </w:rPr>
        <w:t xml:space="preserve">«Противодействие коррупции в муниципальном образовании «Мелекесский район» </w:t>
      </w:r>
      <w:r w:rsidRPr="00A01B76">
        <w:rPr>
          <w:rFonts w:ascii="PT Astra Serif" w:eastAsia="Andale Sans UI" w:hAnsi="PT Astra Serif"/>
          <w:kern w:val="1"/>
        </w:rPr>
        <w:t>Ульяновской области на 2019-2023 годы»</w:t>
      </w:r>
      <w:r w:rsidRPr="00A01B76">
        <w:rPr>
          <w:rFonts w:ascii="PT Astra Serif" w:eastAsia="Andale Sans UI" w:hAnsi="PT Astra Serif"/>
          <w:bCs/>
          <w:kern w:val="1"/>
        </w:rPr>
        <w:t xml:space="preserve"> </w:t>
      </w:r>
      <w:r w:rsidR="00A603D9">
        <w:rPr>
          <w:rFonts w:ascii="PT Astra Serif" w:eastAsia="Andale Sans UI" w:hAnsi="PT Astra Serif"/>
          <w:kern w:val="1"/>
        </w:rPr>
        <w:t>за 9 месяцев</w:t>
      </w:r>
      <w:r w:rsidRPr="00A01B76">
        <w:rPr>
          <w:rFonts w:ascii="PT Astra Serif" w:eastAsia="Andale Sans UI" w:hAnsi="PT Astra Serif"/>
          <w:kern w:val="1"/>
        </w:rPr>
        <w:t xml:space="preserve"> 2019 года были проведены следующие мероприятия различного характера:</w:t>
      </w:r>
    </w:p>
    <w:p w:rsidR="008D6B18" w:rsidRPr="00A01B76" w:rsidRDefault="008D6B18" w:rsidP="008D6B18">
      <w:pPr>
        <w:widowControl w:val="0"/>
        <w:suppressAutoHyphens/>
        <w:ind w:left="31"/>
        <w:jc w:val="both"/>
        <w:rPr>
          <w:rFonts w:ascii="PT Astra Serif" w:eastAsia="Andale Sans UI" w:hAnsi="PT Astra Serif"/>
          <w:kern w:val="1"/>
        </w:rPr>
      </w:pPr>
    </w:p>
    <w:p w:rsidR="00A603D9" w:rsidRPr="00A603D9" w:rsidRDefault="00A603D9" w:rsidP="00A603D9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uppressAutoHyphens/>
        <w:ind w:left="0" w:firstLine="598"/>
        <w:jc w:val="both"/>
        <w:rPr>
          <w:rFonts w:eastAsia="Andale Sans UI"/>
          <w:i/>
          <w:kern w:val="1"/>
          <w:sz w:val="28"/>
          <w:szCs w:val="28"/>
        </w:rPr>
      </w:pPr>
      <w:r w:rsidRPr="00A603D9">
        <w:rPr>
          <w:rFonts w:eastAsia="Andale Sans UI"/>
          <w:i/>
          <w:kern w:val="1"/>
          <w:sz w:val="28"/>
          <w:szCs w:val="28"/>
        </w:rPr>
        <w:t xml:space="preserve">Мероприятия, направленные на снижение </w:t>
      </w:r>
      <w:proofErr w:type="spellStart"/>
      <w:r w:rsidRPr="00A603D9">
        <w:rPr>
          <w:rFonts w:eastAsia="Andale Sans UI"/>
          <w:i/>
          <w:kern w:val="1"/>
          <w:sz w:val="28"/>
          <w:szCs w:val="28"/>
        </w:rPr>
        <w:t>коррупциогенности</w:t>
      </w:r>
      <w:proofErr w:type="spellEnd"/>
      <w:r w:rsidRPr="00A603D9">
        <w:rPr>
          <w:rFonts w:eastAsia="Andale Sans UI"/>
          <w:i/>
          <w:kern w:val="1"/>
          <w:sz w:val="28"/>
          <w:szCs w:val="28"/>
        </w:rPr>
        <w:t xml:space="preserve"> муниципальных нормативных правовых актов и их проектов 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Антикоррупционной экспертизы подверглись 109 (100%) проектов (выявлено 5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коррупциогенных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фактора, которые исключены) и 60 нормативных правовых актов (выявлено 2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коррупциогеных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 фактора, которые исключены) администрации и совета депутатов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район». </w:t>
      </w:r>
      <w:proofErr w:type="gramStart"/>
      <w:r w:rsidRPr="00A603D9">
        <w:rPr>
          <w:rFonts w:eastAsia="Andale Sans UI"/>
          <w:kern w:val="1"/>
          <w:sz w:val="28"/>
          <w:szCs w:val="28"/>
        </w:rPr>
        <w:t xml:space="preserve">Соответственно, 293 (100%) проектов (выявлено 2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коррупциогенных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фактора, которые исключены) и 111 нормативных правовых актов администрации и совета депутатов сельских (городских) поселений, (выявлен 1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коррупциогенный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фактор. </w:t>
      </w:r>
      <w:proofErr w:type="gramEnd"/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A603D9">
        <w:rPr>
          <w:rFonts w:eastAsia="Andale Sans UI"/>
          <w:color w:val="000000"/>
          <w:kern w:val="1"/>
          <w:sz w:val="28"/>
          <w:szCs w:val="28"/>
        </w:rPr>
        <w:t>В отношении 10 проектов и 1 действующего нормативно-правового акта проведена независимая антикоррупционная экспертиза.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Отделом муниципальных закупок и проектного развития проведены экспертизы в отношении 7 проектов нормативно-правовых актов в рамках процедуры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деятельности. 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Проведено 3 заседания рабочей группы по внедрению оценки регулирующего воздействия  проектов нормативных правовых актов, экспертизы нормативных правовых актов, затрагивающих вопросы осуществления предпринимательской или инвестиционной деятельности на территории муниципального образования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 Ульяновской области. 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i/>
          <w:kern w:val="1"/>
          <w:sz w:val="28"/>
          <w:szCs w:val="28"/>
        </w:rPr>
      </w:pPr>
      <w:r w:rsidRPr="00A603D9">
        <w:rPr>
          <w:rFonts w:eastAsia="Andale Sans UI"/>
          <w:i/>
          <w:kern w:val="1"/>
          <w:sz w:val="28"/>
          <w:szCs w:val="28"/>
        </w:rPr>
        <w:t>2 Мероприятия, направленные на совершенствование кадровой политики в области противодействия коррупции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rial"/>
          <w:kern w:val="1"/>
          <w:sz w:val="28"/>
          <w:szCs w:val="28"/>
        </w:rPr>
      </w:pPr>
      <w:r w:rsidRPr="00A603D9">
        <w:rPr>
          <w:rFonts w:eastAsia="Arial"/>
          <w:kern w:val="1"/>
          <w:sz w:val="28"/>
          <w:szCs w:val="28"/>
        </w:rPr>
        <w:t>Актуализированы сведения, содержащиеся в анкетах, предоставляемых при назначении на должность муниципальной службы по состоянию на 01.04.2019, с учетом изменений, внесенных распоряжением Правительства РФ от 27.03.2019 № 543-р.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rial"/>
          <w:kern w:val="1"/>
          <w:sz w:val="28"/>
          <w:szCs w:val="28"/>
        </w:rPr>
      </w:pPr>
      <w:r w:rsidRPr="00A603D9">
        <w:rPr>
          <w:rFonts w:eastAsia="Arial"/>
          <w:kern w:val="1"/>
          <w:sz w:val="28"/>
          <w:szCs w:val="28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В период с 1 апреля по 30 апреля была проведена проверка соответствия сведений, представленных муниципальными служащими,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информацию. По результатам проведенной проверки конфликта интересов не выявлено.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За 9 месяцев 2019 года в отдел муниципальной службы, кадров и архивного дела заявлений о возможном конфликте интересов,  не поступало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Проведен анализ достоверности и полноты сведений о доходах, расходах, об имуществе и обязательствах имущественного характера служащих, своих супруги </w:t>
      </w:r>
      <w:r w:rsidRPr="00A603D9">
        <w:rPr>
          <w:rFonts w:eastAsia="Andale Sans UI"/>
          <w:kern w:val="1"/>
          <w:sz w:val="28"/>
          <w:szCs w:val="28"/>
        </w:rPr>
        <w:lastRenderedPageBreak/>
        <w:t>(супруга) и несовершеннолетних детей, представляемых муниципальными служащими за отчетный период и три предшествующих года. Анализ подготовлен 17.06.2019. Выявлено у 13 лиц несоответствие сведений о доходах, расходах и обязательствах имущественного характера, представленных за 2018 год, аналогичным сведениям за 2017 год.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i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3 </w:t>
      </w:r>
      <w:r w:rsidRPr="00A603D9">
        <w:rPr>
          <w:rFonts w:eastAsia="Andale Sans UI"/>
          <w:kern w:val="1"/>
          <w:sz w:val="28"/>
          <w:szCs w:val="28"/>
        </w:rPr>
        <w:tab/>
      </w:r>
      <w:r w:rsidRPr="00A603D9">
        <w:rPr>
          <w:rFonts w:eastAsia="Andale Sans UI"/>
          <w:i/>
          <w:kern w:val="1"/>
          <w:sz w:val="28"/>
          <w:szCs w:val="28"/>
        </w:rPr>
        <w:t>Реализация принципа неотвратимости наказания за финансовые нарушения, выявленные в ходе проверок внешнего контроля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Проведено 11 проверок, в которых выявлены факты нецелевого и неэффективного использования бюджетных средств. По результатам проверок 12 виновных лиц привлечены к ответственности, в том числе, </w:t>
      </w:r>
      <w:proofErr w:type="gramStart"/>
      <w:r w:rsidRPr="00A603D9">
        <w:rPr>
          <w:rFonts w:eastAsia="Andale Sans UI"/>
          <w:kern w:val="1"/>
          <w:sz w:val="28"/>
          <w:szCs w:val="28"/>
        </w:rPr>
        <w:t>к</w:t>
      </w:r>
      <w:proofErr w:type="gramEnd"/>
      <w:r w:rsidRPr="00A603D9">
        <w:rPr>
          <w:rFonts w:eastAsia="Andale Sans UI"/>
          <w:kern w:val="1"/>
          <w:sz w:val="28"/>
          <w:szCs w:val="28"/>
        </w:rPr>
        <w:t xml:space="preserve"> дисциплинарной – 3 человека, к материальной – 1 человек, к административной в виде штрафа – 8 человек.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i/>
          <w:kern w:val="1"/>
          <w:sz w:val="28"/>
          <w:szCs w:val="28"/>
        </w:rPr>
      </w:pPr>
      <w:r w:rsidRPr="00A603D9">
        <w:rPr>
          <w:rFonts w:eastAsia="Andale Sans UI"/>
          <w:i/>
          <w:kern w:val="1"/>
          <w:sz w:val="28"/>
          <w:szCs w:val="28"/>
        </w:rPr>
        <w:t>4 Мероприятия, направленные на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Ежемесячно совместно с прокуратурой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Мелекесского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района проводятся обучающие семинары-практикумы по вопросам противодействия коррупции органами муниципальной власти с проверкой знаний действующего законодательства в сфере противодействия коррупции (7 занятий).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Было проведено 2 тематических семинара с главными распорядителями бюджетных средств по итогам контрольных мероприятий с целью профилактики нарушений законодательства в сфере противодействия коррупции (5 и 29 мая).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Целый ряд мероприятий по данному направлению деятельности было проведено в рамках восьмой Недели антикоррупционных инициатив в период с 27.05 по 31.05. 2019 (отдельный отчет предоставлялся).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</w:rPr>
      </w:pPr>
      <w:r w:rsidRPr="00A603D9">
        <w:rPr>
          <w:rFonts w:eastAsia="Andale Sans UI"/>
          <w:kern w:val="1"/>
          <w:sz w:val="28"/>
          <w:szCs w:val="28"/>
        </w:rPr>
        <w:t>Один муниципальный служащий, назначенный на должность в 2019 году, прошел курсы повышения квалификации по программе «Вопросы профилактики и противодействия коррупции на муниципальной службе».</w:t>
      </w:r>
      <w:r w:rsidRPr="00A603D9">
        <w:rPr>
          <w:rFonts w:eastAsia="Andale Sans UI"/>
          <w:kern w:val="1"/>
        </w:rPr>
        <w:t xml:space="preserve"> 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4 муниципальных заказчика прошли обучение в рамках повышения квалификации муниципальных служащих, участвующих в осуществлении закупок товаров, работ, услуг для обеспечения государственных и муниципальных нужд. </w:t>
      </w:r>
    </w:p>
    <w:p w:rsidR="00A603D9" w:rsidRPr="00A603D9" w:rsidRDefault="00A603D9" w:rsidP="00A603D9">
      <w:pPr>
        <w:widowControl w:val="0"/>
        <w:ind w:firstLine="567"/>
        <w:jc w:val="both"/>
        <w:rPr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Продолжается работа по увеличению числа участников </w:t>
      </w:r>
      <w:proofErr w:type="gramStart"/>
      <w:r w:rsidRPr="00A603D9">
        <w:rPr>
          <w:rFonts w:eastAsia="Andale Sans UI"/>
          <w:kern w:val="1"/>
          <w:sz w:val="28"/>
          <w:szCs w:val="28"/>
        </w:rPr>
        <w:t>бизнес-сообщества</w:t>
      </w:r>
      <w:proofErr w:type="gramEnd"/>
      <w:r w:rsidRPr="00A603D9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Мелекесского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района, присоединившихся к Общественному антикоррупционному договору. </w:t>
      </w:r>
      <w:r w:rsidRPr="00A603D9">
        <w:rPr>
          <w:sz w:val="28"/>
          <w:szCs w:val="28"/>
        </w:rPr>
        <w:t xml:space="preserve">В целом нарастающим итогом подписаны 26 декларации я </w:t>
      </w:r>
      <w:r w:rsidRPr="00A603D9">
        <w:rPr>
          <w:rFonts w:eastAsia="Andale Sans UI"/>
          <w:kern w:val="1"/>
          <w:sz w:val="28"/>
          <w:szCs w:val="28"/>
        </w:rPr>
        <w:t xml:space="preserve">субъектами предпринимательской деятельности в промышленной сфере и 18 сельскохозяйственных предприятий </w:t>
      </w:r>
      <w:r w:rsidRPr="00A603D9">
        <w:rPr>
          <w:sz w:val="28"/>
          <w:szCs w:val="28"/>
        </w:rPr>
        <w:t>с общим охватом присоединившихся свыше 1850 человек.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i/>
          <w:kern w:val="1"/>
          <w:sz w:val="28"/>
          <w:szCs w:val="28"/>
        </w:rPr>
      </w:pPr>
      <w:r w:rsidRPr="00A603D9">
        <w:rPr>
          <w:rFonts w:eastAsia="Andale Sans UI"/>
          <w:i/>
          <w:kern w:val="1"/>
          <w:sz w:val="28"/>
          <w:szCs w:val="28"/>
        </w:rPr>
        <w:t>5 Мероприятия, направленные на формирование социальной нетерпимости к проявлениям коррупции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В период с 20 по 30 марта 2019 года проведен мониторинг в форме анкетирования о проявлениях бытовой коррупции в сфере образования (205 анкет)»; в период с 27.05 по 31.05. 2019 и здравоохранения (314 анкет). Итоги анализа </w:t>
      </w:r>
      <w:r w:rsidRPr="00A603D9">
        <w:rPr>
          <w:rFonts w:eastAsia="Andale Sans UI"/>
          <w:kern w:val="1"/>
          <w:sz w:val="28"/>
          <w:szCs w:val="28"/>
        </w:rPr>
        <w:lastRenderedPageBreak/>
        <w:t>анкетирования были рассмотрены на аппаратном совещании и разработан план по устранению условий и факторов, способствующих проявлению бытовой коррупции.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rial"/>
          <w:kern w:val="1"/>
          <w:sz w:val="28"/>
          <w:szCs w:val="28"/>
        </w:rPr>
      </w:pPr>
      <w:r w:rsidRPr="00A603D9">
        <w:rPr>
          <w:rFonts w:eastAsia="Arial"/>
          <w:kern w:val="1"/>
          <w:sz w:val="28"/>
          <w:szCs w:val="28"/>
        </w:rPr>
        <w:t>Изготовлены баннеры «Скажем коррупции нет!» (</w:t>
      </w:r>
      <w:proofErr w:type="gramStart"/>
      <w:r w:rsidRPr="00A603D9">
        <w:rPr>
          <w:rFonts w:eastAsia="Arial"/>
          <w:kern w:val="1"/>
          <w:sz w:val="28"/>
          <w:szCs w:val="28"/>
        </w:rPr>
        <w:t>размещен</w:t>
      </w:r>
      <w:proofErr w:type="gramEnd"/>
      <w:r w:rsidRPr="00A603D9">
        <w:rPr>
          <w:rFonts w:eastAsia="Arial"/>
          <w:kern w:val="1"/>
          <w:sz w:val="28"/>
          <w:szCs w:val="28"/>
        </w:rPr>
        <w:t xml:space="preserve"> в муниципальном образовании «</w:t>
      </w:r>
      <w:proofErr w:type="spellStart"/>
      <w:r w:rsidRPr="00A603D9">
        <w:rPr>
          <w:rFonts w:eastAsia="Arial"/>
          <w:kern w:val="1"/>
          <w:sz w:val="28"/>
          <w:szCs w:val="28"/>
        </w:rPr>
        <w:t>Лебяжинское</w:t>
      </w:r>
      <w:proofErr w:type="spellEnd"/>
      <w:r w:rsidRPr="00A603D9">
        <w:rPr>
          <w:rFonts w:eastAsia="Arial"/>
          <w:kern w:val="1"/>
          <w:sz w:val="28"/>
          <w:szCs w:val="28"/>
        </w:rPr>
        <w:t xml:space="preserve"> сельское поселение»), «Молодежь </w:t>
      </w:r>
      <w:proofErr w:type="spellStart"/>
      <w:r w:rsidRPr="00A603D9">
        <w:rPr>
          <w:rFonts w:eastAsia="Arial"/>
          <w:kern w:val="1"/>
          <w:sz w:val="28"/>
          <w:szCs w:val="28"/>
        </w:rPr>
        <w:t>Мелекесского</w:t>
      </w:r>
      <w:proofErr w:type="spellEnd"/>
      <w:r w:rsidRPr="00A603D9">
        <w:rPr>
          <w:rFonts w:eastAsia="Arial"/>
          <w:kern w:val="1"/>
          <w:sz w:val="28"/>
          <w:szCs w:val="28"/>
        </w:rPr>
        <w:t xml:space="preserve"> района против коррупции».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rial"/>
          <w:kern w:val="1"/>
          <w:sz w:val="28"/>
          <w:szCs w:val="28"/>
        </w:rPr>
      </w:pP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Управлением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образования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организовано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проведение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классных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часов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и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открытых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уроков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в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образовательных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организациях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Мелекесского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района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по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вопросам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противодействия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коррупции</w:t>
      </w:r>
      <w:proofErr w:type="spellEnd"/>
      <w:r w:rsidRPr="00A603D9">
        <w:rPr>
          <w:rFonts w:eastAsia="Arial"/>
          <w:kern w:val="1"/>
          <w:sz w:val="28"/>
          <w:szCs w:val="28"/>
        </w:rPr>
        <w:t>. В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сего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за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r w:rsidRPr="00A603D9">
        <w:rPr>
          <w:rFonts w:eastAsia="Arial"/>
          <w:kern w:val="1"/>
          <w:sz w:val="28"/>
          <w:szCs w:val="28"/>
        </w:rPr>
        <w:t>3</w:t>
      </w:r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квартал</w:t>
      </w:r>
      <w:proofErr w:type="spellEnd"/>
      <w:r w:rsidRPr="00A603D9">
        <w:rPr>
          <w:rFonts w:eastAsia="Arial"/>
          <w:kern w:val="1"/>
          <w:sz w:val="28"/>
          <w:szCs w:val="28"/>
        </w:rPr>
        <w:t>а</w:t>
      </w:r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проведено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r w:rsidRPr="00A603D9">
        <w:rPr>
          <w:rFonts w:eastAsia="Arial"/>
          <w:kern w:val="1"/>
          <w:sz w:val="28"/>
          <w:szCs w:val="28"/>
        </w:rPr>
        <w:t>64</w:t>
      </w:r>
      <w:r w:rsidRPr="00A603D9">
        <w:rPr>
          <w:rFonts w:eastAsia="Arial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eastAsia="Arial"/>
          <w:kern w:val="1"/>
          <w:sz w:val="28"/>
          <w:szCs w:val="28"/>
          <w:lang w:val="de-DE"/>
        </w:rPr>
        <w:t>урока</w:t>
      </w:r>
      <w:proofErr w:type="spellEnd"/>
      <w:r w:rsidRPr="00A603D9">
        <w:rPr>
          <w:rFonts w:eastAsia="Arial"/>
          <w:kern w:val="1"/>
          <w:sz w:val="28"/>
          <w:szCs w:val="28"/>
          <w:lang w:val="de-DE"/>
        </w:rPr>
        <w:t>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A603D9">
        <w:rPr>
          <w:rFonts w:ascii="PT Astra Serif" w:eastAsia="Andale Sans UI" w:hAnsi="PT Astra Serif"/>
          <w:kern w:val="1"/>
          <w:sz w:val="28"/>
          <w:szCs w:val="28"/>
        </w:rPr>
        <w:t xml:space="preserve">В августе на </w:t>
      </w:r>
      <w:r w:rsidRPr="00A603D9">
        <w:rPr>
          <w:rFonts w:ascii="PT Astra Serif" w:eastAsia="Andale Sans UI" w:hAnsi="PT Astra Serif"/>
          <w:kern w:val="1"/>
          <w:sz w:val="28"/>
          <w:szCs w:val="28"/>
          <w:lang w:val="en-US"/>
        </w:rPr>
        <w:t>V</w:t>
      </w:r>
      <w:r w:rsidRPr="00A603D9">
        <w:rPr>
          <w:rFonts w:ascii="PT Astra Serif" w:eastAsia="Andale Sans UI" w:hAnsi="PT Astra Serif"/>
          <w:kern w:val="1"/>
          <w:sz w:val="28"/>
          <w:szCs w:val="28"/>
        </w:rPr>
        <w:t xml:space="preserve"> слете сельской молодежи «Кто, если не мы!» была организована площадка «Вместе против коррупции!». Командам городских и сельских поселений было дано задание, нарисовать лучшую символику антикоррупционного характера. Участникам в качестве призов были розданы письменные принадлежности с антикоррупционной символикой. Так же была проведена беседа по вопросу противодействия коррупции.  На мероприятии присутствовало более 150 человек.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В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библиотеках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городских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и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сельских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поселений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ежемесячно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проводятся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выставки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на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тему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«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Нет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коррупции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!»</w:t>
      </w:r>
      <w:r w:rsidRPr="00A603D9">
        <w:rPr>
          <w:rFonts w:ascii="PT Astra Serif" w:eastAsia="Andale Sans UI" w:hAnsi="PT Astra Serif"/>
          <w:kern w:val="1"/>
          <w:sz w:val="28"/>
          <w:szCs w:val="28"/>
        </w:rPr>
        <w:t xml:space="preserve">.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За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3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квартала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состоялось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34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выставки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с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охватом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3000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чел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.</w:t>
      </w:r>
    </w:p>
    <w:p w:rsidR="00A603D9" w:rsidRPr="00A603D9" w:rsidRDefault="00A603D9" w:rsidP="00A603D9">
      <w:pPr>
        <w:widowControl w:val="0"/>
        <w:suppressAutoHyphens/>
        <w:ind w:firstLine="540"/>
        <w:jc w:val="both"/>
        <w:rPr>
          <w:rFonts w:eastAsia="Arial"/>
          <w:kern w:val="1"/>
          <w:sz w:val="28"/>
          <w:szCs w:val="28"/>
        </w:rPr>
      </w:pPr>
      <w:r w:rsidRPr="00A603D9">
        <w:rPr>
          <w:rFonts w:ascii="PT Astra Serif" w:eastAsia="Andale Sans UI" w:hAnsi="PT Astra Serif"/>
          <w:kern w:val="1"/>
          <w:sz w:val="28"/>
          <w:szCs w:val="28"/>
        </w:rPr>
        <w:t>19.02.2019, 19.03.2019, 23.04</w:t>
      </w:r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.2019, </w:t>
      </w:r>
      <w:r w:rsidRPr="00A603D9">
        <w:rPr>
          <w:rFonts w:ascii="PT Astra Serif" w:eastAsia="Andale Sans UI" w:hAnsi="PT Astra Serif"/>
          <w:kern w:val="1"/>
          <w:sz w:val="28"/>
          <w:szCs w:val="28"/>
        </w:rPr>
        <w:t>21.05</w:t>
      </w:r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.2019, </w:t>
      </w:r>
      <w:r w:rsidRPr="00A603D9">
        <w:rPr>
          <w:rFonts w:ascii="PT Astra Serif" w:eastAsia="Andale Sans UI" w:hAnsi="PT Astra Serif"/>
          <w:kern w:val="1"/>
          <w:sz w:val="28"/>
          <w:szCs w:val="28"/>
        </w:rPr>
        <w:t>18.06</w:t>
      </w:r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.2019</w:t>
      </w:r>
      <w:r w:rsidRPr="00A603D9">
        <w:rPr>
          <w:rFonts w:ascii="PT Astra Serif" w:eastAsia="Andale Sans UI" w:hAnsi="PT Astra Serif"/>
          <w:kern w:val="1"/>
          <w:sz w:val="28"/>
          <w:szCs w:val="28"/>
        </w:rPr>
        <w:t xml:space="preserve">, 16.07.2019,27.08.2019 и 13.09.2019 </w:t>
      </w:r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проведены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прямые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линии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«</w:t>
      </w:r>
      <w:proofErr w:type="spellStart"/>
      <w:proofErr w:type="gram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Администрация-Сельчане</w:t>
      </w:r>
      <w:proofErr w:type="spellEnd"/>
      <w:proofErr w:type="gram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»</w:t>
      </w:r>
      <w:r w:rsidRPr="00A603D9">
        <w:rPr>
          <w:rFonts w:ascii="PT Astra Serif" w:eastAsia="Andale Sans UI" w:hAnsi="PT Astra Serif"/>
          <w:kern w:val="1"/>
          <w:sz w:val="28"/>
          <w:szCs w:val="28"/>
        </w:rPr>
        <w:t xml:space="preserve">, в том числе и по вопросам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коррупционных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проявлений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в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деятельности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администрации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МО «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Мелекесский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район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»  и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администраций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сельских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и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городских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поселений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, а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так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же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подведомственных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им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учреждений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 xml:space="preserve"> и </w:t>
      </w:r>
      <w:proofErr w:type="spellStart"/>
      <w:r w:rsidRPr="00A603D9">
        <w:rPr>
          <w:rFonts w:ascii="PT Astra Serif" w:eastAsia="Andale Sans UI" w:hAnsi="PT Astra Serif"/>
          <w:kern w:val="1"/>
          <w:sz w:val="28"/>
          <w:szCs w:val="28"/>
          <w:lang w:val="de-DE"/>
        </w:rPr>
        <w:t>организаций</w:t>
      </w:r>
      <w:proofErr w:type="spellEnd"/>
      <w:r w:rsidRPr="00A603D9">
        <w:rPr>
          <w:rFonts w:ascii="PT Astra Serif" w:eastAsia="Andale Sans UI" w:hAnsi="PT Astra Serif"/>
          <w:kern w:val="1"/>
          <w:sz w:val="28"/>
          <w:szCs w:val="28"/>
        </w:rPr>
        <w:t>.</w:t>
      </w:r>
    </w:p>
    <w:p w:rsidR="00A603D9" w:rsidRPr="00A603D9" w:rsidRDefault="00A603D9" w:rsidP="00A603D9">
      <w:pPr>
        <w:widowControl w:val="0"/>
        <w:suppressAutoHyphens/>
        <w:autoSpaceDE w:val="0"/>
        <w:ind w:firstLine="567"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A603D9">
        <w:rPr>
          <w:rFonts w:eastAsia="Arial"/>
          <w:kern w:val="1"/>
          <w:sz w:val="28"/>
          <w:szCs w:val="28"/>
        </w:rPr>
        <w:t>И</w:t>
      </w:r>
      <w:r w:rsidRPr="00A603D9">
        <w:rPr>
          <w:rFonts w:eastAsia="Andale Sans UI"/>
          <w:kern w:val="1"/>
          <w:sz w:val="28"/>
          <w:szCs w:val="28"/>
        </w:rPr>
        <w:t xml:space="preserve">зготовлены брошюры </w:t>
      </w:r>
      <w:r w:rsidRPr="00A603D9">
        <w:rPr>
          <w:rFonts w:eastAsia="Arial"/>
          <w:kern w:val="1"/>
          <w:sz w:val="28"/>
          <w:szCs w:val="28"/>
        </w:rPr>
        <w:t xml:space="preserve">«Против коррупции в образовании», </w:t>
      </w:r>
      <w:r w:rsidRPr="00A603D9">
        <w:rPr>
          <w:rFonts w:eastAsia="Andale Sans UI" w:cs="Tahoma"/>
          <w:kern w:val="3"/>
          <w:sz w:val="28"/>
          <w:szCs w:val="28"/>
          <w:lang w:bidi="fa-IR"/>
        </w:rPr>
        <w:t xml:space="preserve">«Против коррупции в здравоохранении», </w:t>
      </w:r>
      <w:r w:rsidRPr="00A603D9">
        <w:rPr>
          <w:rFonts w:eastAsia="Arial"/>
          <w:kern w:val="1"/>
          <w:sz w:val="28"/>
          <w:szCs w:val="28"/>
        </w:rPr>
        <w:t>«Против коррупции в ЖКХ», «Против коррупции на дорогах», которые распространяются ежемесячно при проведении Единого дня профилактики</w:t>
      </w:r>
      <w:r w:rsidRPr="00A603D9">
        <w:rPr>
          <w:rFonts w:eastAsia="Andale Sans UI"/>
          <w:kern w:val="1"/>
          <w:sz w:val="28"/>
          <w:szCs w:val="28"/>
        </w:rPr>
        <w:t xml:space="preserve"> 18.01.2019 в муниципальном образовании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Новоселкинское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сельское поселение», 15.02.2019 в муниципальном образовании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Новомайнское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городское поселение», 15.03.2019 в муниципальном образовании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Лебяжинское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сельское поселение», 19.04.2019 в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Мулловское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городское поселение», 17.05.2019 в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Тиинское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сельское поселение», 21.06.2019</w:t>
      </w:r>
      <w:proofErr w:type="gramEnd"/>
      <w:r w:rsidRPr="00A603D9">
        <w:rPr>
          <w:rFonts w:eastAsia="Andale Sans UI"/>
          <w:kern w:val="1"/>
          <w:sz w:val="28"/>
          <w:szCs w:val="28"/>
        </w:rPr>
        <w:t xml:space="preserve"> в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Новомайнское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городское поселение»,</w:t>
      </w:r>
      <w:r w:rsidRPr="00A603D9">
        <w:rPr>
          <w:rFonts w:eastAsia="Andale Sans UI"/>
          <w:color w:val="00B050"/>
          <w:kern w:val="1"/>
          <w:sz w:val="20"/>
          <w:szCs w:val="20"/>
        </w:rPr>
        <w:t xml:space="preserve"> </w:t>
      </w:r>
      <w:r w:rsidRPr="00A603D9">
        <w:rPr>
          <w:rFonts w:eastAsia="Andale Sans UI"/>
          <w:kern w:val="1"/>
          <w:sz w:val="28"/>
          <w:szCs w:val="28"/>
        </w:rPr>
        <w:t>20.09.2019 в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Рязановское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сельское поселение»). </w:t>
      </w:r>
    </w:p>
    <w:p w:rsidR="00A603D9" w:rsidRPr="00A603D9" w:rsidRDefault="00A603D9" w:rsidP="00A603D9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zh-CN" w:bidi="hi-IN"/>
        </w:rPr>
      </w:pPr>
      <w:r w:rsidRPr="00A603D9">
        <w:rPr>
          <w:rFonts w:eastAsia="Andale Sans UI" w:cs="Tahoma"/>
          <w:kern w:val="3"/>
          <w:sz w:val="28"/>
          <w:szCs w:val="28"/>
          <w:lang w:eastAsia="ja-JP" w:bidi="fa-IR"/>
        </w:rPr>
        <w:t xml:space="preserve">Всего за 9 месяцев распространенно более 2400 </w:t>
      </w:r>
      <w:r w:rsidRPr="00A603D9">
        <w:rPr>
          <w:rFonts w:eastAsia="Arial"/>
          <w:sz w:val="28"/>
          <w:szCs w:val="28"/>
          <w:lang w:eastAsia="zh-CN" w:bidi="hi-IN"/>
        </w:rPr>
        <w:t>памяток</w:t>
      </w:r>
      <w:r w:rsidRPr="00A603D9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A603D9" w:rsidRPr="00A603D9" w:rsidRDefault="00A603D9" w:rsidP="00A603D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ab/>
        <w:t xml:space="preserve">В </w:t>
      </w:r>
      <w:r w:rsidRPr="00A603D9">
        <w:rPr>
          <w:rFonts w:eastAsia="Andale Sans UI"/>
          <w:kern w:val="1"/>
          <w:sz w:val="28"/>
          <w:szCs w:val="28"/>
          <w:lang w:val="de-DE"/>
        </w:rPr>
        <w:t>III</w:t>
      </w:r>
      <w:r w:rsidRPr="00A603D9">
        <w:rPr>
          <w:rFonts w:eastAsia="Andale Sans UI"/>
          <w:kern w:val="1"/>
          <w:sz w:val="28"/>
          <w:szCs w:val="28"/>
        </w:rPr>
        <w:t xml:space="preserve"> кв. 2019 года по телефону поступило одно обращение от жителя г. Димитровграда о сборе денежных средств с жителей </w:t>
      </w:r>
      <w:proofErr w:type="gramStart"/>
      <w:r w:rsidRPr="00A603D9">
        <w:rPr>
          <w:rFonts w:eastAsia="Andale Sans UI"/>
          <w:kern w:val="1"/>
          <w:sz w:val="28"/>
          <w:szCs w:val="28"/>
        </w:rPr>
        <w:t>с</w:t>
      </w:r>
      <w:proofErr w:type="gramEnd"/>
      <w:r w:rsidRPr="00A603D9">
        <w:rPr>
          <w:rFonts w:eastAsia="Andale Sans UI"/>
          <w:kern w:val="1"/>
          <w:sz w:val="28"/>
          <w:szCs w:val="28"/>
        </w:rPr>
        <w:t xml:space="preserve">. </w:t>
      </w:r>
      <w:proofErr w:type="gramStart"/>
      <w:r w:rsidRPr="00A603D9">
        <w:rPr>
          <w:rFonts w:eastAsia="Andale Sans UI"/>
          <w:kern w:val="1"/>
          <w:sz w:val="28"/>
          <w:szCs w:val="28"/>
        </w:rPr>
        <w:t>Филипповка</w:t>
      </w:r>
      <w:proofErr w:type="gramEnd"/>
      <w:r w:rsidRPr="00A603D9">
        <w:rPr>
          <w:rFonts w:eastAsia="Andale Sans UI"/>
          <w:kern w:val="1"/>
          <w:sz w:val="28"/>
          <w:szCs w:val="28"/>
        </w:rPr>
        <w:t xml:space="preserve"> для проведения вырубки аварийных деревьев. Указанная в обращении информация не подтвердилась.</w:t>
      </w:r>
    </w:p>
    <w:p w:rsidR="00A603D9" w:rsidRPr="00A603D9" w:rsidRDefault="00A603D9" w:rsidP="00A603D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</w:p>
    <w:p w:rsidR="00A603D9" w:rsidRPr="00A603D9" w:rsidRDefault="00A603D9" w:rsidP="00A603D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ab/>
        <w:t xml:space="preserve">6 </w:t>
      </w:r>
      <w:r w:rsidRPr="00A603D9">
        <w:rPr>
          <w:rFonts w:eastAsia="Andale Sans UI"/>
          <w:i/>
          <w:kern w:val="1"/>
          <w:sz w:val="28"/>
          <w:szCs w:val="28"/>
        </w:rPr>
        <w:t>Мероприятия, направленные на</w:t>
      </w:r>
      <w:r w:rsidRPr="00A603D9">
        <w:rPr>
          <w:rFonts w:eastAsia="Andale Sans UI"/>
          <w:kern w:val="1"/>
          <w:sz w:val="28"/>
          <w:szCs w:val="28"/>
        </w:rPr>
        <w:t xml:space="preserve"> в</w:t>
      </w:r>
      <w:r w:rsidRPr="00A603D9">
        <w:rPr>
          <w:rFonts w:eastAsia="Andale Sans UI"/>
          <w:i/>
          <w:kern w:val="1"/>
          <w:sz w:val="28"/>
          <w:szCs w:val="28"/>
        </w:rPr>
        <w:t>овлечение институтов гражданского общества в реализацию антикоррупционной политики</w:t>
      </w:r>
    </w:p>
    <w:p w:rsidR="00A603D9" w:rsidRPr="00A603D9" w:rsidRDefault="00A603D9" w:rsidP="00A603D9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 xml:space="preserve">Проведено 9 заседаний Межведомственной комиссии по противодействию коррупции в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Мелекесском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районе, было рассмотрено 32 вопроса с участием сотрудников полиции, прокуратуры, общественных представителей по противодействию коррупции в Ульяновской области, СМИ.</w:t>
      </w:r>
    </w:p>
    <w:p w:rsidR="00A603D9" w:rsidRPr="00A603D9" w:rsidRDefault="00A603D9" w:rsidP="00A603D9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A603D9">
        <w:rPr>
          <w:rFonts w:eastAsia="Arial"/>
          <w:kern w:val="1"/>
          <w:sz w:val="28"/>
          <w:szCs w:val="28"/>
        </w:rPr>
        <w:t xml:space="preserve">Проведено 3 совместных заседания Общественной палаты и Совета по вопросам общественного контроля, </w:t>
      </w:r>
      <w:r w:rsidRPr="00A603D9">
        <w:rPr>
          <w:rFonts w:eastAsia="Andale Sans UI"/>
          <w:kern w:val="1"/>
          <w:sz w:val="28"/>
          <w:szCs w:val="28"/>
        </w:rPr>
        <w:t xml:space="preserve">Межведомственной комиссии по </w:t>
      </w:r>
      <w:r w:rsidRPr="00A603D9">
        <w:rPr>
          <w:rFonts w:eastAsia="Andale Sans UI"/>
          <w:kern w:val="1"/>
          <w:sz w:val="28"/>
          <w:szCs w:val="28"/>
        </w:rPr>
        <w:lastRenderedPageBreak/>
        <w:t xml:space="preserve">противодействию коррупции в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Мелекесском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районе (17.01.2019, </w:t>
      </w:r>
      <w:r w:rsidRPr="00A603D9">
        <w:rPr>
          <w:rFonts w:eastAsia="Arial"/>
          <w:kern w:val="1"/>
          <w:sz w:val="28"/>
          <w:szCs w:val="28"/>
        </w:rPr>
        <w:t>24.04.2019, 18.07.2019</w:t>
      </w:r>
      <w:r w:rsidRPr="00A603D9">
        <w:rPr>
          <w:rFonts w:eastAsia="Arial"/>
          <w:kern w:val="1"/>
        </w:rPr>
        <w:t>)</w:t>
      </w:r>
      <w:r w:rsidRPr="00A603D9">
        <w:rPr>
          <w:rFonts w:eastAsia="Andale Sans UI"/>
          <w:kern w:val="1"/>
          <w:sz w:val="28"/>
          <w:szCs w:val="28"/>
        </w:rPr>
        <w:t>, вопросы антикоррупционной политики так же рассматривались на заседаниях Совета национальностей при Главе (26.03.2019, 06.08.2019), на встречах Главы администрации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 с представителями общественности, включая членов НКО, ТОС (16.05.2019, 11.08.2019) и др. </w:t>
      </w:r>
      <w:proofErr w:type="gramEnd"/>
    </w:p>
    <w:p w:rsidR="00A603D9" w:rsidRPr="00A603D9" w:rsidRDefault="00A603D9" w:rsidP="00A603D9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На объектах муниципального образования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район», подлежащих ремонту (строительству) в сельских и городских поселениях закреплены общественные контролеры. Все виды ремонтных работ выполняются под наблюдением со стороны Совета по вопросам общественного контроля и Общественной палаты администрации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район». На конец отчетного периода выполнены ремонтные работы на 5 объектах, подлежащих общественному контролю.</w:t>
      </w:r>
    </w:p>
    <w:p w:rsidR="00A603D9" w:rsidRPr="00A603D9" w:rsidRDefault="00A603D9" w:rsidP="00A603D9">
      <w:pPr>
        <w:widowControl w:val="0"/>
        <w:suppressAutoHyphens/>
        <w:ind w:firstLine="709"/>
        <w:jc w:val="both"/>
        <w:rPr>
          <w:rFonts w:eastAsia="Arial"/>
          <w:kern w:val="1"/>
        </w:rPr>
      </w:pPr>
    </w:p>
    <w:p w:rsidR="00A603D9" w:rsidRPr="00A603D9" w:rsidRDefault="00A603D9" w:rsidP="00A603D9">
      <w:pPr>
        <w:widowControl w:val="0"/>
        <w:suppressAutoHyphens/>
        <w:ind w:firstLine="709"/>
        <w:jc w:val="both"/>
        <w:rPr>
          <w:rFonts w:eastAsia="Andale Sans UI"/>
          <w:i/>
          <w:kern w:val="1"/>
          <w:sz w:val="28"/>
          <w:szCs w:val="28"/>
        </w:rPr>
      </w:pPr>
      <w:r w:rsidRPr="00A603D9">
        <w:rPr>
          <w:rFonts w:eastAsia="Arial"/>
          <w:i/>
          <w:kern w:val="1"/>
          <w:sz w:val="28"/>
          <w:szCs w:val="28"/>
        </w:rPr>
        <w:t>7 Мероприятия, направленные на обеспечение свободного доступа к информации о деятельности органов местного самоуправления</w:t>
      </w:r>
    </w:p>
    <w:p w:rsidR="00A603D9" w:rsidRPr="00A603D9" w:rsidRDefault="00A603D9" w:rsidP="00A603D9">
      <w:pPr>
        <w:widowControl w:val="0"/>
        <w:suppressAutoHyphens/>
        <w:ind w:firstLine="709"/>
        <w:jc w:val="both"/>
        <w:rPr>
          <w:rFonts w:eastAsia="Andale Sans UI"/>
          <w:kern w:val="1"/>
        </w:rPr>
      </w:pPr>
      <w:r w:rsidRPr="00A603D9">
        <w:rPr>
          <w:rFonts w:eastAsia="Andale Sans UI"/>
          <w:kern w:val="1"/>
          <w:sz w:val="28"/>
          <w:szCs w:val="28"/>
        </w:rPr>
        <w:t>В актуальном состоянии поддерживается специальный раздел официального сайта «Антикоррупционная деятельность» (</w:t>
      </w:r>
      <w:hyperlink r:id="rId7" w:history="1">
        <w:r w:rsidRPr="00A603D9">
          <w:rPr>
            <w:rFonts w:eastAsia="Andale Sans UI"/>
            <w:color w:val="0000FF"/>
            <w:kern w:val="1"/>
            <w:sz w:val="28"/>
            <w:szCs w:val="28"/>
            <w:u w:val="single"/>
          </w:rPr>
          <w:t>http://adm-melekess.ru/dokumenty-administracii/antikorupcionnaja-yekspertiza-municipaln</w:t>
        </w:r>
      </w:hyperlink>
      <w:r w:rsidRPr="00A603D9">
        <w:rPr>
          <w:rFonts w:eastAsia="Andale Sans UI"/>
          <w:kern w:val="1"/>
          <w:sz w:val="28"/>
          <w:szCs w:val="28"/>
        </w:rPr>
        <w:t>), где своевременно размещаются тексты проектов НПА и НПА, прошедших антикоррупционную экспертизу с заключениями, информация о результатах проведенных контрольных мероприятиях внешнего финансового контроля протоколы, планы, новости и др. информация о мероприятиях, направленных на противодействие коррупции.</w:t>
      </w:r>
      <w:r w:rsidRPr="00A603D9">
        <w:rPr>
          <w:rFonts w:eastAsia="Andale Sans UI"/>
          <w:kern w:val="1"/>
        </w:rPr>
        <w:t xml:space="preserve"> </w:t>
      </w:r>
    </w:p>
    <w:p w:rsidR="00A603D9" w:rsidRPr="00A603D9" w:rsidRDefault="00A603D9" w:rsidP="00A603D9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Глава администрации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 С.А. </w:t>
      </w:r>
      <w:proofErr w:type="spellStart"/>
      <w:r w:rsidRPr="00A603D9">
        <w:rPr>
          <w:rFonts w:eastAsia="Andale Sans UI"/>
          <w:kern w:val="1"/>
          <w:sz w:val="28"/>
          <w:szCs w:val="28"/>
        </w:rPr>
        <w:t>Сандрюков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выступил с Ежегодным докладом 18.03.2019 перед депутатами МО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район», а также в каждом поселении в соответствии с графиком до 01.04.2019, который был размещен на сайте и опубликован в газете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Мелекесские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вести» от 29.03.2019 № 13.</w:t>
      </w:r>
    </w:p>
    <w:p w:rsidR="00A603D9" w:rsidRPr="00A603D9" w:rsidRDefault="00A603D9" w:rsidP="00A603D9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Отчет о выполнении муниципальной программы «Противодействие коррупции в муниципальном образовании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 Ульяновской области на 2019-2023 годы» за 3 квартал 2019 года рассмотрен на заседании Межведомственной комиссии по противодействию коррупции муниципального образования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 (протокол от 28.09.2019 № 9).</w:t>
      </w:r>
    </w:p>
    <w:p w:rsidR="00A603D9" w:rsidRPr="00A603D9" w:rsidRDefault="00A603D9" w:rsidP="00A603D9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A603D9">
        <w:rPr>
          <w:rFonts w:eastAsia="Andale Sans UI"/>
          <w:kern w:val="1"/>
          <w:sz w:val="28"/>
          <w:szCs w:val="28"/>
        </w:rPr>
        <w:t>На реализацию мероприятий муниципальной программы «Противодействие коррупции в муниципальном образовании «</w:t>
      </w:r>
      <w:proofErr w:type="spellStart"/>
      <w:r w:rsidRPr="00A603D9">
        <w:rPr>
          <w:rFonts w:eastAsia="Andale Sans UI"/>
          <w:kern w:val="1"/>
          <w:sz w:val="28"/>
          <w:szCs w:val="28"/>
        </w:rPr>
        <w:t>Мелекесский</w:t>
      </w:r>
      <w:proofErr w:type="spellEnd"/>
      <w:r w:rsidRPr="00A603D9">
        <w:rPr>
          <w:rFonts w:eastAsia="Andale Sans UI"/>
          <w:kern w:val="1"/>
          <w:sz w:val="28"/>
          <w:szCs w:val="28"/>
        </w:rPr>
        <w:t xml:space="preserve"> район» Ульяновской области на 2019-2023 годы» на 2019 год предусмотрено</w:t>
      </w:r>
      <w:r>
        <w:rPr>
          <w:rFonts w:eastAsia="Andale Sans UI"/>
          <w:kern w:val="1"/>
          <w:sz w:val="28"/>
          <w:szCs w:val="28"/>
        </w:rPr>
        <w:t xml:space="preserve"> 65.000 рублей, освоено из них 2</w:t>
      </w:r>
      <w:r w:rsidRPr="00A603D9">
        <w:rPr>
          <w:rFonts w:eastAsia="Andale Sans UI"/>
          <w:kern w:val="1"/>
          <w:sz w:val="28"/>
          <w:szCs w:val="28"/>
        </w:rPr>
        <w:t>5520 рублей.</w:t>
      </w:r>
    </w:p>
    <w:p w:rsidR="008D6B18" w:rsidRPr="00A01B76" w:rsidRDefault="008D6B18" w:rsidP="008D6B18">
      <w:pPr>
        <w:widowControl w:val="0"/>
        <w:suppressAutoHyphens/>
        <w:ind w:firstLine="5655"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 xml:space="preserve">Глава администрации </w:t>
      </w: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  <w:r w:rsidRPr="00A01B76">
        <w:rPr>
          <w:rFonts w:ascii="PT Astra Serif" w:eastAsia="Andale Sans UI" w:hAnsi="PT Astra Serif"/>
          <w:kern w:val="1"/>
        </w:rPr>
        <w:t>МО «Мелекесский район»</w:t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</w:r>
      <w:r w:rsidRPr="00A01B76">
        <w:rPr>
          <w:rFonts w:ascii="PT Astra Serif" w:eastAsia="Andale Sans UI" w:hAnsi="PT Astra Serif"/>
          <w:kern w:val="1"/>
        </w:rPr>
        <w:tab/>
        <w:t>С.А. Сандрюков</w:t>
      </w:r>
    </w:p>
    <w:p w:rsidR="008D6B18" w:rsidRPr="00A01B76" w:rsidRDefault="008D6B18" w:rsidP="008D6B18">
      <w:pPr>
        <w:widowControl w:val="0"/>
        <w:suppressAutoHyphens/>
        <w:rPr>
          <w:rFonts w:ascii="PT Astra Serif" w:eastAsia="Andale Sans UI" w:hAnsi="PT Astra Serif"/>
          <w:kern w:val="1"/>
        </w:rPr>
      </w:pPr>
    </w:p>
    <w:p w:rsidR="008D6B18" w:rsidRPr="00A01B76" w:rsidRDefault="008D6B18" w:rsidP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p w:rsidR="008D6B18" w:rsidRPr="00A01B76" w:rsidRDefault="008D6B18">
      <w:pPr>
        <w:rPr>
          <w:rFonts w:ascii="PT Astra Serif" w:hAnsi="PT Astra Serif"/>
        </w:rPr>
      </w:pPr>
    </w:p>
    <w:sectPr w:rsidR="008D6B18" w:rsidRPr="00A01B76" w:rsidSect="008D6B1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A92"/>
    <w:multiLevelType w:val="hybridMultilevel"/>
    <w:tmpl w:val="F306B234"/>
    <w:lvl w:ilvl="0" w:tplc="845AE2F8">
      <w:start w:val="1"/>
      <w:numFmt w:val="decimal"/>
      <w:lvlText w:val="%1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5"/>
    <w:rsid w:val="0009252F"/>
    <w:rsid w:val="000F3931"/>
    <w:rsid w:val="002B6D6B"/>
    <w:rsid w:val="00312D9B"/>
    <w:rsid w:val="00345BA0"/>
    <w:rsid w:val="004B47F1"/>
    <w:rsid w:val="005825FF"/>
    <w:rsid w:val="005C45B3"/>
    <w:rsid w:val="006D4B8E"/>
    <w:rsid w:val="00722DEA"/>
    <w:rsid w:val="0073603D"/>
    <w:rsid w:val="007C4779"/>
    <w:rsid w:val="007E736E"/>
    <w:rsid w:val="008D6B18"/>
    <w:rsid w:val="00940F97"/>
    <w:rsid w:val="00A01B76"/>
    <w:rsid w:val="00A17961"/>
    <w:rsid w:val="00A603D9"/>
    <w:rsid w:val="00AA53BD"/>
    <w:rsid w:val="00B14D1E"/>
    <w:rsid w:val="00C752B5"/>
    <w:rsid w:val="00E10370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D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D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elekess.ru/dokumenty-administracii/antikorupcionnaja-yekspertiza-municipal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874D-DABD-4A37-BD4B-2483A677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2019-04-03T11:38:00Z</dcterms:created>
  <dcterms:modified xsi:type="dcterms:W3CDTF">2019-10-18T10:10:00Z</dcterms:modified>
</cp:coreProperties>
</file>