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55" w:rsidRDefault="00375A55">
      <w:pPr>
        <w:pStyle w:val="ConsPlusTitlePage"/>
      </w:pPr>
      <w:r>
        <w:br/>
      </w:r>
    </w:p>
    <w:p w:rsidR="00375A55" w:rsidRDefault="00375A55">
      <w:pPr>
        <w:pStyle w:val="ConsPlusNormal"/>
        <w:jc w:val="both"/>
        <w:outlineLvl w:val="0"/>
      </w:pPr>
    </w:p>
    <w:p w:rsidR="00375A55" w:rsidRDefault="00375A55">
      <w:pPr>
        <w:pStyle w:val="ConsPlusTitle"/>
        <w:jc w:val="center"/>
        <w:outlineLvl w:val="0"/>
      </w:pPr>
      <w:r>
        <w:t>СОВЕТ ДЕПУТАТОВ МУНИЦИПАЛЬНОГО ОБРАЗОВАНИЯ</w:t>
      </w:r>
    </w:p>
    <w:p w:rsidR="00375A55" w:rsidRDefault="00375A55">
      <w:pPr>
        <w:pStyle w:val="ConsPlusTitle"/>
        <w:jc w:val="center"/>
      </w:pPr>
      <w:r>
        <w:t>"МЕЛЕКЕССКИЙ РАЙОН" УЛЬЯНОВСКОЙ ОБЛАСТИ</w:t>
      </w:r>
    </w:p>
    <w:p w:rsidR="00375A55" w:rsidRDefault="00375A55">
      <w:pPr>
        <w:pStyle w:val="ConsPlusTitle"/>
        <w:jc w:val="center"/>
      </w:pPr>
    </w:p>
    <w:p w:rsidR="00375A55" w:rsidRDefault="00375A55">
      <w:pPr>
        <w:pStyle w:val="ConsPlusTitle"/>
        <w:jc w:val="center"/>
      </w:pPr>
      <w:r>
        <w:t>РЕШЕНИЕ</w:t>
      </w:r>
    </w:p>
    <w:p w:rsidR="00375A55" w:rsidRDefault="00375A55">
      <w:pPr>
        <w:pStyle w:val="ConsPlusTitle"/>
        <w:jc w:val="center"/>
      </w:pPr>
      <w:r>
        <w:t>от 11 апреля 2012 г. N 39/356</w:t>
      </w:r>
    </w:p>
    <w:p w:rsidR="00375A55" w:rsidRDefault="00375A55">
      <w:pPr>
        <w:pStyle w:val="ConsPlusTitle"/>
        <w:jc w:val="center"/>
      </w:pPr>
    </w:p>
    <w:p w:rsidR="00375A55" w:rsidRDefault="00375A55">
      <w:pPr>
        <w:pStyle w:val="ConsPlusTitle"/>
        <w:jc w:val="center"/>
      </w:pPr>
      <w:r>
        <w:t>ОБ УТВЕРЖДЕНИИ ПЕРЕЧНЯ УСЛУГ, КОТОРЫЕ</w:t>
      </w:r>
    </w:p>
    <w:p w:rsidR="00375A55" w:rsidRDefault="00375A55">
      <w:pPr>
        <w:pStyle w:val="ConsPlusTitle"/>
        <w:jc w:val="center"/>
      </w:pPr>
      <w:r>
        <w:t xml:space="preserve">ЯВЛЯЮТСЯ НЕОБХОДИМЫМИ И ОБЯЗАТЕЛЬНЫМИ </w:t>
      </w:r>
      <w:proofErr w:type="gramStart"/>
      <w:r>
        <w:t>ДЛЯ</w:t>
      </w:r>
      <w:proofErr w:type="gramEnd"/>
    </w:p>
    <w:p w:rsidR="00375A55" w:rsidRDefault="00375A55">
      <w:pPr>
        <w:pStyle w:val="ConsPlusTitle"/>
        <w:jc w:val="center"/>
      </w:pPr>
      <w:r>
        <w:t>ПРЕДОСТАВЛЕНИЯ АДМИНИСТРАЦИЕЙ МУНИЦИПАЛЬНОГО</w:t>
      </w:r>
    </w:p>
    <w:p w:rsidR="00375A55" w:rsidRDefault="00375A55">
      <w:pPr>
        <w:pStyle w:val="ConsPlusTitle"/>
        <w:jc w:val="center"/>
      </w:pPr>
      <w:r>
        <w:t xml:space="preserve">ОБРАЗОВАНИЯ "МЕЛЕКЕССКИЙ РАЙОН" </w:t>
      </w:r>
      <w:proofErr w:type="gramStart"/>
      <w:r>
        <w:t>УЛЬЯНОВСКОЙ</w:t>
      </w:r>
      <w:proofErr w:type="gramEnd"/>
    </w:p>
    <w:p w:rsidR="00375A55" w:rsidRDefault="00375A55">
      <w:pPr>
        <w:pStyle w:val="ConsPlusTitle"/>
        <w:jc w:val="center"/>
      </w:pPr>
      <w:r>
        <w:t>ОБЛАСТИ, ЕЕ ОТРАСЛЕВЫМИ (ФУНКЦИОНАЛЬНЫМИ) ОРГАНАМИ,</w:t>
      </w:r>
    </w:p>
    <w:p w:rsidR="00375A55" w:rsidRDefault="00375A55">
      <w:pPr>
        <w:pStyle w:val="ConsPlusTitle"/>
        <w:jc w:val="center"/>
      </w:pPr>
      <w:r>
        <w:t>СТРУКТУРНЫМИ ПОДРАЗДЕЛЕНИЯМИ МУНИЦИПАЛЬНЫХ УСЛУГ И</w:t>
      </w:r>
    </w:p>
    <w:p w:rsidR="00375A55" w:rsidRDefault="00375A55">
      <w:pPr>
        <w:pStyle w:val="ConsPlusTitle"/>
        <w:jc w:val="center"/>
      </w:pPr>
      <w:r>
        <w:t xml:space="preserve">ПРЕДОСТАВЛЯЮТСЯ ОРГАНИЗАЦИЯМИ, УЧАСТВУЮЩИМИ </w:t>
      </w:r>
      <w:proofErr w:type="gramStart"/>
      <w:r>
        <w:t>В</w:t>
      </w:r>
      <w:proofErr w:type="gramEnd"/>
    </w:p>
    <w:p w:rsidR="00375A55" w:rsidRDefault="00375A55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МУНИЦИПАЛЬНЫХ УСЛУГ</w:t>
      </w:r>
    </w:p>
    <w:p w:rsidR="00375A55" w:rsidRDefault="00375A55">
      <w:pPr>
        <w:pStyle w:val="ConsPlusNormal"/>
        <w:jc w:val="center"/>
      </w:pPr>
    </w:p>
    <w:p w:rsidR="00375A55" w:rsidRDefault="00375A55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3 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Совет депутатов муниципального образования "Мелекесский район" Ульяновской области четвертого созыва решил: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необходимых и обязательных услуг для предоставления Администрацией муниципального образования "Мелекесский район" Ульяновской области, ее отраслевыми (функциональными) органами, структурными подразделениями муниципальных услуг, предоставляются организациями, участвующими в предоставлении муниципальных услуг согласно приложению.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2. С момента вступления в силу настоящего решения признать утратившим силу Решение от 29.06.2011 N 27/259 "Об утверждении перечня необходимых и обязательных услуг, предоставляемых в муниципальном образовании "Мелекесский район" Ульяновской области".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официального опубликования и подлежит размещению на официальном сайте муниципального образования "Мелекесский район" на едином портале государственных и муниципальных услуг в информационно-телекоммуникационной сети Интернет.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местному самоуправлению и социальной политике (Ершова Л.А).</w:t>
      </w: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jc w:val="right"/>
      </w:pPr>
      <w:r>
        <w:t>Глава</w:t>
      </w:r>
    </w:p>
    <w:p w:rsidR="00375A55" w:rsidRDefault="00375A55">
      <w:pPr>
        <w:pStyle w:val="ConsPlusNormal"/>
        <w:jc w:val="right"/>
      </w:pPr>
      <w:r>
        <w:t>муниципального образования</w:t>
      </w:r>
    </w:p>
    <w:p w:rsidR="00375A55" w:rsidRDefault="00375A55">
      <w:pPr>
        <w:pStyle w:val="ConsPlusNormal"/>
        <w:jc w:val="right"/>
      </w:pPr>
      <w:r>
        <w:t>"Мелекесский район"</w:t>
      </w:r>
    </w:p>
    <w:p w:rsidR="00375A55" w:rsidRDefault="00375A55">
      <w:pPr>
        <w:pStyle w:val="ConsPlusNormal"/>
        <w:jc w:val="right"/>
      </w:pPr>
      <w:r>
        <w:t>А.В.КОЧЕМАЗОВ</w:t>
      </w: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jc w:val="right"/>
        <w:outlineLvl w:val="0"/>
      </w:pPr>
      <w:r>
        <w:t>Приложение N 1</w:t>
      </w:r>
    </w:p>
    <w:p w:rsidR="00375A55" w:rsidRDefault="00375A55">
      <w:pPr>
        <w:pStyle w:val="ConsPlusNormal"/>
        <w:jc w:val="right"/>
      </w:pPr>
      <w:r>
        <w:t>к решению Совета депутатов</w:t>
      </w:r>
    </w:p>
    <w:p w:rsidR="00375A55" w:rsidRDefault="00375A55">
      <w:pPr>
        <w:pStyle w:val="ConsPlusNormal"/>
        <w:jc w:val="right"/>
      </w:pPr>
      <w:r>
        <w:t>муниципального образования</w:t>
      </w:r>
    </w:p>
    <w:p w:rsidR="00375A55" w:rsidRDefault="00375A55">
      <w:pPr>
        <w:pStyle w:val="ConsPlusNormal"/>
        <w:jc w:val="right"/>
      </w:pPr>
      <w:r>
        <w:t>"Мелекесский район"</w:t>
      </w:r>
    </w:p>
    <w:p w:rsidR="00375A55" w:rsidRDefault="00375A55">
      <w:pPr>
        <w:pStyle w:val="ConsPlusNormal"/>
        <w:jc w:val="right"/>
      </w:pPr>
      <w:r>
        <w:t>от 11.04.2012 N 39/356</w:t>
      </w:r>
    </w:p>
    <w:p w:rsidR="00375A55" w:rsidRDefault="00375A55">
      <w:pPr>
        <w:pStyle w:val="ConsPlusNormal"/>
        <w:jc w:val="center"/>
      </w:pPr>
    </w:p>
    <w:p w:rsidR="00375A55" w:rsidRDefault="00375A55">
      <w:pPr>
        <w:pStyle w:val="ConsPlusTitle"/>
        <w:jc w:val="center"/>
      </w:pPr>
      <w:bookmarkStart w:id="0" w:name="P37"/>
      <w:bookmarkEnd w:id="0"/>
      <w:r>
        <w:t>ПЕРЕЧЕНЬ</w:t>
      </w:r>
    </w:p>
    <w:p w:rsidR="00375A55" w:rsidRDefault="00375A55">
      <w:pPr>
        <w:pStyle w:val="ConsPlusTitle"/>
        <w:jc w:val="center"/>
      </w:pPr>
      <w:r>
        <w:t>УСЛУГ, КОТОРЫЕ</w:t>
      </w:r>
    </w:p>
    <w:p w:rsidR="00375A55" w:rsidRDefault="00375A55">
      <w:pPr>
        <w:pStyle w:val="ConsPlusTitle"/>
        <w:jc w:val="center"/>
      </w:pPr>
      <w:r>
        <w:t>ЯВЛЯЮТСЯ НЕОБХОДИМЫМИ И</w:t>
      </w:r>
    </w:p>
    <w:p w:rsidR="00375A55" w:rsidRDefault="00375A55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</w:t>
      </w:r>
    </w:p>
    <w:p w:rsidR="00375A55" w:rsidRDefault="00375A55">
      <w:pPr>
        <w:pStyle w:val="ConsPlusTitle"/>
        <w:jc w:val="center"/>
      </w:pPr>
      <w:r>
        <w:t>АДМИНИСТРАЦИЕЙ МУНИЦИПАЛЬНОГО ОБРАЗОВАНИЯ</w:t>
      </w:r>
    </w:p>
    <w:p w:rsidR="00375A55" w:rsidRDefault="00375A55">
      <w:pPr>
        <w:pStyle w:val="ConsPlusTitle"/>
        <w:jc w:val="center"/>
      </w:pPr>
      <w:r>
        <w:t>"МЕЛЕКЕССКИЙ РАЙОН" УЛЬЯНОВСКОЙ ОБЛАСТИ,</w:t>
      </w:r>
    </w:p>
    <w:p w:rsidR="00375A55" w:rsidRDefault="00375A55">
      <w:pPr>
        <w:pStyle w:val="ConsPlusTitle"/>
        <w:jc w:val="center"/>
      </w:pPr>
      <w:r>
        <w:t>ЕЕ ОТРАСЛЕВЫМИ (ФУНКЦИОНАЛЬНЫМИ) ОРГАНАМИ,</w:t>
      </w:r>
    </w:p>
    <w:p w:rsidR="00375A55" w:rsidRDefault="00375A55">
      <w:pPr>
        <w:pStyle w:val="ConsPlusTitle"/>
        <w:jc w:val="center"/>
      </w:pPr>
      <w:r>
        <w:t>СТРУКТУРНЫМИ ПОДРАЗДЕЛЕНИЯМИ МУНИЦИПАЛЬНЫХ УСЛУГ</w:t>
      </w:r>
    </w:p>
    <w:p w:rsidR="00375A55" w:rsidRDefault="00375A55">
      <w:pPr>
        <w:pStyle w:val="ConsPlusTitle"/>
        <w:jc w:val="center"/>
      </w:pPr>
      <w:r>
        <w:t>И ПРЕДОСТАВЛЯЮТСЯ ОРГАНИЗАЦИЯМИ, УЧАСТВУЮЩИМИ</w:t>
      </w:r>
    </w:p>
    <w:p w:rsidR="00375A55" w:rsidRDefault="00375A55">
      <w:pPr>
        <w:pStyle w:val="ConsPlusTitle"/>
        <w:jc w:val="center"/>
      </w:pPr>
      <w:r>
        <w:t>В ПРЕДОСТАВЛЕНИИ МУНИЦИПАЛЬНЫХ УСЛУГ</w:t>
      </w:r>
    </w:p>
    <w:p w:rsidR="00375A55" w:rsidRDefault="00375A55">
      <w:pPr>
        <w:pStyle w:val="ConsPlusNormal"/>
        <w:jc w:val="center"/>
      </w:pPr>
    </w:p>
    <w:p w:rsidR="00375A55" w:rsidRDefault="00375A55">
      <w:pPr>
        <w:pStyle w:val="ConsPlusNormal"/>
        <w:ind w:firstLine="540"/>
        <w:jc w:val="both"/>
      </w:pPr>
      <w:r>
        <w:t>1. Подготовка схемы границ земельного участка.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2. Получение нотариального согласия супруга на прекращение права постоянного (бессрочного) пользования и пожизненного наследуемого владения земельным участком.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3. Подготовка проектной документации.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4. Выдача положительного заключения государственной экспертизы проектной документации.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5. Получение нотариального согласия всех правообладателей объекта капитального строительства в случае реконструкции такого объекта.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6. Подготовка межевания.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7. Выдача технического паспорта земельного участка.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8. Получение нотариального согласия собственника здания на установку рекламной конструкции.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9. Подготовка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10. Подготовка эскизного проекта рекламной конструкции, выполненного в цвете и представляющего фронтальные виды рекламной конструкции, с габаритными размерами и площадью.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11. Подготовка краткого описания рекламного объекта (способ изготовления, применяемые материалы, наличие электрического подключения).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12. Подготовка дорожной схемы (в случае размещения отдельно стоящей рекламной конструкции) с указанием предполагаемого места установки рекламной конструкции, а также расстояния до ближайших существующих объектов.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13. Предоставление фотографии предполагаемого места размещения рекламной конструкции, дающей четкое представление о том, какие близлежащие рекламные конструкции, дорожные знаки, здания, участки дорог находятся вблизи предполагаемого места установки рекламной конструкции.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14. Подготовка и выдача проекта перепланировки.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15. Выдача технического паспорта на здание.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lastRenderedPageBreak/>
        <w:t>16. Оформление приказа о закреплении за производством работ ответственного лица.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17. Подготовка топографо-геодезической съемки.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18. Оформление акта восстановления благоустройства.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19. Оформление акта приемки объекта.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 xml:space="preserve">20. Выдача документа, подтверждающего соответствие построенного, реконструированного, отремонтированного объекта капитального строительства </w:t>
      </w:r>
      <w:hyperlink r:id="rId5" w:history="1">
        <w:r>
          <w:rPr>
            <w:color w:val="0000FF"/>
          </w:rPr>
          <w:t>требованиям</w:t>
        </w:r>
      </w:hyperlink>
      <w:r>
        <w:t xml:space="preserve"> технических регламентов и подписанного лицом, осуществляющим строительство.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21. Выдача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22. Выдача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23. 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 xml:space="preserve">24. Выдача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</w:t>
      </w:r>
      <w:hyperlink r:id="rId6" w:history="1">
        <w:r>
          <w:rPr>
            <w:color w:val="0000FF"/>
          </w:rPr>
          <w:t>требованиям</w:t>
        </w:r>
      </w:hyperlink>
      <w:r>
        <w:t xml:space="preserve"> технических регламентов и проектной документации.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25. Разработка и выдача бизнес-плана.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26. Разработка и выдача сметы расходов.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27. Предоставление документов (сведений), подтверждающих наличие производственных и других помещений, необходимых для реализации проекта.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28. Предоставление анкеты индивидуального предпринимателя или руководителя юридического лица.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29. Предоставление справки о наличии банковских счетов;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30. Предоставление документа о прохождении субъектом малого предпринимательства краткосрочного обучения предпринимательской деятельности.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31. Предоставление расписки о том, что субъект малого предпринимательства не был зарегистрирован в качестве индивидуального предпринимателя.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32. Предоставление расчета платы за негативное воздействие на окружающую среду.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lastRenderedPageBreak/>
        <w:t>33. Предоставление документов, подтверждающих фактический объем передачи отходов.</w:t>
      </w:r>
    </w:p>
    <w:p w:rsidR="00375A55" w:rsidRDefault="00375A55">
      <w:pPr>
        <w:pStyle w:val="ConsPlusNormal"/>
        <w:spacing w:before="220"/>
        <w:ind w:firstLine="540"/>
        <w:jc w:val="both"/>
      </w:pPr>
      <w:r>
        <w:t>34. Копия финансового лицевого счета.</w:t>
      </w: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ind w:firstLine="540"/>
        <w:jc w:val="both"/>
      </w:pPr>
    </w:p>
    <w:p w:rsidR="00375A55" w:rsidRDefault="00375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4AC" w:rsidRDefault="00FE6352"/>
    <w:sectPr w:rsidR="00D774AC" w:rsidSect="00D4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55"/>
    <w:rsid w:val="001F0A78"/>
    <w:rsid w:val="002C38A0"/>
    <w:rsid w:val="00375A55"/>
    <w:rsid w:val="004254EC"/>
    <w:rsid w:val="004B6131"/>
    <w:rsid w:val="004D4C2A"/>
    <w:rsid w:val="00500018"/>
    <w:rsid w:val="0055359F"/>
    <w:rsid w:val="0060039E"/>
    <w:rsid w:val="006E1BA4"/>
    <w:rsid w:val="00750F2C"/>
    <w:rsid w:val="00776E66"/>
    <w:rsid w:val="0080404E"/>
    <w:rsid w:val="00824781"/>
    <w:rsid w:val="008373A8"/>
    <w:rsid w:val="00A57FB3"/>
    <w:rsid w:val="00A77844"/>
    <w:rsid w:val="00A855B7"/>
    <w:rsid w:val="00B330FC"/>
    <w:rsid w:val="00B7511E"/>
    <w:rsid w:val="00BC0C29"/>
    <w:rsid w:val="00C36F9C"/>
    <w:rsid w:val="00CE36AB"/>
    <w:rsid w:val="00CE7BDB"/>
    <w:rsid w:val="00D45F50"/>
    <w:rsid w:val="00DC5206"/>
    <w:rsid w:val="00DE2C19"/>
    <w:rsid w:val="00DF1231"/>
    <w:rsid w:val="00E2172F"/>
    <w:rsid w:val="00E96968"/>
    <w:rsid w:val="00EB04C4"/>
    <w:rsid w:val="00EE57BF"/>
    <w:rsid w:val="00FE6352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5C0B42B24E1A9CD620281E7052EF5B79CD8DF7A1697943863DFBEB22868D633580367BFF76FEB8E1E6CEBB423983FDBCBF5A1FB4EF61BK3pBG" TargetMode="External"/><Relationship Id="rId5" Type="http://schemas.openxmlformats.org/officeDocument/2006/relationships/hyperlink" Target="consultantplus://offline/ref=FCB5C0B42B24E1A9CD620281E7052EF5B79CD8DF7A1697943863DFBEB22868D633580367BFF76FEB8E1E6CEBB423983FDBCBF5A1FB4EF61BK3pBG" TargetMode="External"/><Relationship Id="rId4" Type="http://schemas.openxmlformats.org/officeDocument/2006/relationships/hyperlink" Target="consultantplus://offline/ref=FCB5C0B42B24E1A9CD620281E7052EF5B594D2D87B1A97943863DFBEB22868D633580367BFF76FEF871E6CEBB423983FDBCBF5A1FB4EF61BK3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2019-02-25T06:35:00Z</dcterms:created>
  <dcterms:modified xsi:type="dcterms:W3CDTF">2019-02-25T09:13:00Z</dcterms:modified>
</cp:coreProperties>
</file>